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50" w:rsidRPr="00C06F30" w:rsidRDefault="00C06F30" w:rsidP="00C06F30">
      <w:pPr>
        <w:pStyle w:val="Heading1"/>
      </w:pPr>
      <w:r w:rsidRPr="00C06F30">
        <w:t>Teaching observation form</w:t>
      </w:r>
      <w:r>
        <w:t xml:space="preserve"> &amp; Constructive feedback</w:t>
      </w:r>
    </w:p>
    <w:p w:rsidR="00C06F30" w:rsidRDefault="00C06F30">
      <w:r w:rsidRPr="00C06F30">
        <w:t>You can pay attention to the following issues when writing observations and constructive feedback</w:t>
      </w:r>
      <w:r>
        <w:t>. The topics may or may not help you depending on the type of the teaching session.</w:t>
      </w:r>
      <w:r w:rsidR="001F6097">
        <w:t xml:space="preserve"> It is polite that you inform the teacher in advance that you make observations for your pedagogical studies. </w:t>
      </w:r>
    </w:p>
    <w:p w:rsidR="00C06F30" w:rsidRDefault="00C06F30">
      <w:r>
        <w:t>Course, type and topic of the session:  _________________________________________________</w:t>
      </w:r>
    </w:p>
    <w:p w:rsidR="00C06F30" w:rsidRDefault="00C06F30">
      <w:r>
        <w:t>Date:  ____________                               _________________________________________________</w:t>
      </w:r>
    </w:p>
    <w:p w:rsidR="00C06F30" w:rsidRDefault="00C06F30">
      <w:r>
        <w:t>Teacher:  _________________________________________________________________________</w:t>
      </w:r>
    </w:p>
    <w:p w:rsidR="00C06F30" w:rsidRDefault="000D7086">
      <w:r>
        <w:t>Observant</w:t>
      </w:r>
      <w:r w:rsidR="00C06F30">
        <w:t>:  ______________________________________________________________________</w:t>
      </w:r>
    </w:p>
    <w:p w:rsidR="00C06F30" w:rsidRDefault="00C06F3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27"/>
      </w:tblGrid>
      <w:tr w:rsidR="00C06F30" w:rsidTr="00C06F30">
        <w:tc>
          <w:tcPr>
            <w:tcW w:w="2689" w:type="dxa"/>
            <w:shd w:val="clear" w:color="auto" w:fill="EDEDED" w:themeFill="accent3" w:themeFillTint="33"/>
          </w:tcPr>
          <w:p w:rsidR="00C06F30" w:rsidRPr="00C06F30" w:rsidRDefault="00C06F30">
            <w:pPr>
              <w:rPr>
                <w:i/>
              </w:rPr>
            </w:pPr>
            <w:r w:rsidRPr="00C06F30">
              <w:rPr>
                <w:i/>
              </w:rPr>
              <w:t>Topic</w:t>
            </w:r>
          </w:p>
        </w:tc>
        <w:tc>
          <w:tcPr>
            <w:tcW w:w="6327" w:type="dxa"/>
            <w:shd w:val="clear" w:color="auto" w:fill="EDEDED" w:themeFill="accent3" w:themeFillTint="33"/>
          </w:tcPr>
          <w:p w:rsidR="00C06F30" w:rsidRPr="00C06F30" w:rsidRDefault="00C06F30">
            <w:pPr>
              <w:rPr>
                <w:i/>
              </w:rPr>
            </w:pPr>
            <w:r w:rsidRPr="00C06F30">
              <w:rPr>
                <w:i/>
              </w:rPr>
              <w:t>Your observations</w:t>
            </w:r>
          </w:p>
        </w:tc>
      </w:tr>
      <w:tr w:rsidR="00C06F30" w:rsidTr="00C06F30">
        <w:tc>
          <w:tcPr>
            <w:tcW w:w="2689" w:type="dxa"/>
          </w:tcPr>
          <w:p w:rsidR="00C06F30" w:rsidRPr="00C06F30" w:rsidRDefault="00C06F30">
            <w:pPr>
              <w:rPr>
                <w:b/>
              </w:rPr>
            </w:pPr>
            <w:r w:rsidRPr="00C06F30">
              <w:rPr>
                <w:b/>
              </w:rPr>
              <w:t>Beginning and closing of the session</w:t>
            </w:r>
          </w:p>
        </w:tc>
        <w:tc>
          <w:tcPr>
            <w:tcW w:w="6327" w:type="dxa"/>
          </w:tcPr>
          <w:p w:rsidR="00C06F30" w:rsidRDefault="00C06F30"/>
        </w:tc>
      </w:tr>
      <w:tr w:rsidR="00C06F30" w:rsidTr="00C06F30">
        <w:tc>
          <w:tcPr>
            <w:tcW w:w="2689" w:type="dxa"/>
          </w:tcPr>
          <w:p w:rsidR="00C06F30" w:rsidRPr="00C06F30" w:rsidRDefault="00C06F30" w:rsidP="00C06F30">
            <w:pPr>
              <w:rPr>
                <w:b/>
              </w:rPr>
            </w:pPr>
            <w:r w:rsidRPr="00C06F30">
              <w:rPr>
                <w:b/>
              </w:rPr>
              <w:t>Interaction and presentation</w:t>
            </w:r>
            <w:r>
              <w:rPr>
                <w:b/>
              </w:rPr>
              <w:t xml:space="preserve"> (voice</w:t>
            </w:r>
            <w:r w:rsidR="005A35E6">
              <w:rPr>
                <w:b/>
              </w:rPr>
              <w:t xml:space="preserve">, appearance, </w:t>
            </w:r>
            <w:proofErr w:type="spellStart"/>
            <w:r w:rsidR="005A35E6"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  <w:r w:rsidR="005A35E6">
              <w:rPr>
                <w:b/>
              </w:rPr>
              <w:t>, enthusiasm, presence</w:t>
            </w:r>
          </w:p>
        </w:tc>
        <w:tc>
          <w:tcPr>
            <w:tcW w:w="6327" w:type="dxa"/>
          </w:tcPr>
          <w:p w:rsidR="00C06F30" w:rsidRDefault="00C06F30"/>
        </w:tc>
      </w:tr>
      <w:tr w:rsidR="00C06F30" w:rsidTr="00C06F30">
        <w:tc>
          <w:tcPr>
            <w:tcW w:w="2689" w:type="dxa"/>
          </w:tcPr>
          <w:p w:rsidR="00C06F30" w:rsidRPr="00C06F30" w:rsidRDefault="00C06F30">
            <w:pPr>
              <w:rPr>
                <w:b/>
              </w:rPr>
            </w:pPr>
            <w:r>
              <w:rPr>
                <w:b/>
              </w:rPr>
              <w:t>A</w:t>
            </w:r>
            <w:r w:rsidRPr="00C06F30">
              <w:rPr>
                <w:b/>
              </w:rPr>
              <w:t>ctivation and engagement of students</w:t>
            </w:r>
          </w:p>
        </w:tc>
        <w:tc>
          <w:tcPr>
            <w:tcW w:w="6327" w:type="dxa"/>
          </w:tcPr>
          <w:p w:rsidR="00C06F30" w:rsidRDefault="00C06F30"/>
        </w:tc>
      </w:tr>
      <w:tr w:rsidR="00C06F30" w:rsidTr="00C06F30">
        <w:tc>
          <w:tcPr>
            <w:tcW w:w="2689" w:type="dxa"/>
          </w:tcPr>
          <w:p w:rsidR="00C06F30" w:rsidRPr="00C06F30" w:rsidRDefault="00C06F30">
            <w:pPr>
              <w:rPr>
                <w:b/>
              </w:rPr>
            </w:pPr>
            <w:r w:rsidRPr="00C06F30">
              <w:rPr>
                <w:b/>
              </w:rPr>
              <w:t xml:space="preserve">Equipment and </w:t>
            </w:r>
            <w:r>
              <w:rPr>
                <w:b/>
              </w:rPr>
              <w:t xml:space="preserve">teaching / learning </w:t>
            </w:r>
            <w:r w:rsidRPr="00C06F30">
              <w:rPr>
                <w:b/>
              </w:rPr>
              <w:t>materials</w:t>
            </w:r>
          </w:p>
        </w:tc>
        <w:tc>
          <w:tcPr>
            <w:tcW w:w="6327" w:type="dxa"/>
          </w:tcPr>
          <w:p w:rsidR="00C06F30" w:rsidRDefault="00C06F30"/>
        </w:tc>
      </w:tr>
      <w:tr w:rsidR="00C06F30" w:rsidTr="00C06F30">
        <w:tc>
          <w:tcPr>
            <w:tcW w:w="2689" w:type="dxa"/>
          </w:tcPr>
          <w:p w:rsidR="00C06F30" w:rsidRPr="00C06F30" w:rsidRDefault="00C06F30" w:rsidP="005A35E6">
            <w:pPr>
              <w:rPr>
                <w:b/>
              </w:rPr>
            </w:pPr>
            <w:r w:rsidRPr="00C06F30">
              <w:rPr>
                <w:b/>
              </w:rPr>
              <w:t xml:space="preserve">Alignment of teaching: </w:t>
            </w:r>
            <w:r w:rsidR="005A35E6">
              <w:rPr>
                <w:b/>
              </w:rPr>
              <w:t>W</w:t>
            </w:r>
            <w:r w:rsidRPr="00C06F30">
              <w:rPr>
                <w:b/>
              </w:rPr>
              <w:t>as there a clear goal?</w:t>
            </w:r>
            <w:r w:rsidR="005A35E6">
              <w:rPr>
                <w:b/>
              </w:rPr>
              <w:br/>
              <w:t>Was c</w:t>
            </w:r>
            <w:r w:rsidR="005A35E6" w:rsidRPr="00C06F30">
              <w:rPr>
                <w:b/>
              </w:rPr>
              <w:t>ontent</w:t>
            </w:r>
            <w:r w:rsidR="005A35E6">
              <w:rPr>
                <w:b/>
              </w:rPr>
              <w:t xml:space="preserve"> / tasks chosen appropriately</w:t>
            </w:r>
            <w:r w:rsidR="005A35E6" w:rsidRPr="00C06F30">
              <w:rPr>
                <w:b/>
              </w:rPr>
              <w:t>?</w:t>
            </w:r>
            <w:r w:rsidR="005A35E6">
              <w:rPr>
                <w:b/>
              </w:rPr>
              <w:br/>
              <w:t>D</w:t>
            </w:r>
            <w:r w:rsidR="005A35E6" w:rsidRPr="00C06F30">
              <w:rPr>
                <w:b/>
              </w:rPr>
              <w:t xml:space="preserve">id teaching methods </w:t>
            </w:r>
            <w:r w:rsidR="005A35E6">
              <w:rPr>
                <w:b/>
              </w:rPr>
              <w:t xml:space="preserve">/ actions </w:t>
            </w:r>
            <w:r w:rsidR="005A35E6" w:rsidRPr="00C06F30">
              <w:rPr>
                <w:b/>
              </w:rPr>
              <w:t>support</w:t>
            </w:r>
            <w:r w:rsidR="005A35E6">
              <w:rPr>
                <w:b/>
              </w:rPr>
              <w:t xml:space="preserve"> learning</w:t>
            </w:r>
            <w:r w:rsidR="005A35E6" w:rsidRPr="00C06F30">
              <w:rPr>
                <w:b/>
              </w:rPr>
              <w:t>?</w:t>
            </w:r>
            <w:r w:rsidR="005A35E6">
              <w:rPr>
                <w:b/>
              </w:rPr>
              <w:br/>
              <w:t xml:space="preserve">Was </w:t>
            </w:r>
            <w:r w:rsidR="000D7086">
              <w:rPr>
                <w:b/>
              </w:rPr>
              <w:t xml:space="preserve">there assessment of learning </w:t>
            </w:r>
            <w:r w:rsidR="005A35E6">
              <w:rPr>
                <w:b/>
              </w:rPr>
              <w:t>goals?</w:t>
            </w:r>
          </w:p>
        </w:tc>
        <w:tc>
          <w:tcPr>
            <w:tcW w:w="6327" w:type="dxa"/>
          </w:tcPr>
          <w:p w:rsidR="00C06F30" w:rsidRDefault="00C06F30"/>
        </w:tc>
      </w:tr>
      <w:tr w:rsidR="006D2865" w:rsidTr="00C06F30">
        <w:tc>
          <w:tcPr>
            <w:tcW w:w="2689" w:type="dxa"/>
          </w:tcPr>
          <w:p w:rsidR="006D2865" w:rsidRPr="006D2865" w:rsidRDefault="006D2865" w:rsidP="005A35E6">
            <w:pPr>
              <w:rPr>
                <w:b/>
              </w:rPr>
            </w:pPr>
            <w:r>
              <w:rPr>
                <w:b/>
              </w:rPr>
              <w:t>Learning environment: p</w:t>
            </w:r>
            <w:r w:rsidR="005A35E6">
              <w:rPr>
                <w:b/>
              </w:rPr>
              <w:t xml:space="preserve">hysical (room, </w:t>
            </w:r>
            <w:proofErr w:type="spellStart"/>
            <w:r w:rsidR="005A35E6">
              <w:rPr>
                <w:b/>
              </w:rPr>
              <w:t>etc</w:t>
            </w:r>
            <w:proofErr w:type="spellEnd"/>
            <w:r w:rsidR="005A35E6">
              <w:rPr>
                <w:b/>
              </w:rPr>
              <w:t xml:space="preserve">), social (peers, atmosphere, </w:t>
            </w:r>
            <w:proofErr w:type="spellStart"/>
            <w:r w:rsidR="005A35E6"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), virtual (MyCourses,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327" w:type="dxa"/>
          </w:tcPr>
          <w:p w:rsidR="006D2865" w:rsidRDefault="006D2865"/>
        </w:tc>
      </w:tr>
      <w:tr w:rsidR="000D7086" w:rsidTr="00C06F30">
        <w:tc>
          <w:tcPr>
            <w:tcW w:w="2689" w:type="dxa"/>
          </w:tcPr>
          <w:p w:rsidR="000D7086" w:rsidRPr="000D7086" w:rsidRDefault="000D7086" w:rsidP="00C06F30">
            <w:pPr>
              <w:rPr>
                <w:b/>
                <w:i/>
              </w:rPr>
            </w:pPr>
            <w:r w:rsidRPr="000D7086">
              <w:rPr>
                <w:b/>
                <w:i/>
              </w:rPr>
              <w:t>The substance</w:t>
            </w:r>
          </w:p>
          <w:p w:rsidR="000D7086" w:rsidRDefault="000D7086" w:rsidP="00C06F30">
            <w:pPr>
              <w:rPr>
                <w:b/>
              </w:rPr>
            </w:pPr>
            <w:bookmarkStart w:id="0" w:name="_GoBack"/>
            <w:bookmarkEnd w:id="0"/>
          </w:p>
          <w:p w:rsidR="000D7086" w:rsidRPr="006D2865" w:rsidRDefault="000D7086" w:rsidP="00C06F30">
            <w:pPr>
              <w:rPr>
                <w:b/>
              </w:rPr>
            </w:pPr>
          </w:p>
        </w:tc>
        <w:tc>
          <w:tcPr>
            <w:tcW w:w="6327" w:type="dxa"/>
          </w:tcPr>
          <w:p w:rsidR="000D7086" w:rsidRDefault="000D7086"/>
        </w:tc>
      </w:tr>
      <w:tr w:rsidR="00C06F30" w:rsidTr="00C06F30">
        <w:tc>
          <w:tcPr>
            <w:tcW w:w="2689" w:type="dxa"/>
          </w:tcPr>
          <w:p w:rsidR="00C06F30" w:rsidRPr="006D2865" w:rsidRDefault="006D2865" w:rsidP="00C06F30">
            <w:pPr>
              <w:rPr>
                <w:b/>
              </w:rPr>
            </w:pPr>
            <w:r w:rsidRPr="006D2865">
              <w:rPr>
                <w:b/>
              </w:rPr>
              <w:t>Other observations</w:t>
            </w:r>
            <w:r w:rsidRPr="006D2865">
              <w:rPr>
                <w:b/>
              </w:rPr>
              <w:br/>
            </w:r>
            <w:r w:rsidRPr="006D2865">
              <w:rPr>
                <w:b/>
              </w:rPr>
              <w:br/>
            </w:r>
            <w:r w:rsidRPr="006D2865">
              <w:rPr>
                <w:b/>
              </w:rPr>
              <w:br/>
            </w:r>
          </w:p>
        </w:tc>
        <w:tc>
          <w:tcPr>
            <w:tcW w:w="6327" w:type="dxa"/>
          </w:tcPr>
          <w:p w:rsidR="00C06F30" w:rsidRDefault="00C06F30"/>
        </w:tc>
      </w:tr>
    </w:tbl>
    <w:p w:rsidR="00C06F30" w:rsidRDefault="00C06F30"/>
    <w:p w:rsidR="006D2865" w:rsidRPr="000D7086" w:rsidRDefault="00C06F30">
      <w:pPr>
        <w:rPr>
          <w:i/>
        </w:rPr>
      </w:pPr>
      <w:r w:rsidRPr="000D7086">
        <w:rPr>
          <w:i/>
        </w:rPr>
        <w:t xml:space="preserve">You may write </w:t>
      </w:r>
      <w:r w:rsidR="00287723" w:rsidRPr="000D7086">
        <w:rPr>
          <w:i/>
        </w:rPr>
        <w:t xml:space="preserve">also write constructive feedback from the observation. You may give it to the teacher on paper or orally, if you want, or leave that as an exercise for you. </w:t>
      </w:r>
    </w:p>
    <w:p w:rsidR="006D2865" w:rsidRDefault="006D2865" w:rsidP="006D2865">
      <w:r>
        <w:br w:type="page"/>
      </w:r>
    </w:p>
    <w:p w:rsidR="00C06F30" w:rsidRDefault="006D2865" w:rsidP="006D2865">
      <w:pPr>
        <w:pStyle w:val="Heading1"/>
      </w:pPr>
      <w:r>
        <w:lastRenderedPageBreak/>
        <w:t>Feedback of teaching</w:t>
      </w:r>
    </w:p>
    <w:p w:rsidR="006D2865" w:rsidRDefault="006D2865" w:rsidP="006D2865">
      <w:r>
        <w:t>Course, type and topic of the session:  _________________________________________________</w:t>
      </w:r>
    </w:p>
    <w:p w:rsidR="006D2865" w:rsidRDefault="006D2865" w:rsidP="006D2865">
      <w:r>
        <w:t>Date:  ____________                               _________________________________________________</w:t>
      </w:r>
    </w:p>
    <w:p w:rsidR="006D2865" w:rsidRDefault="006D2865" w:rsidP="006D2865">
      <w:r>
        <w:t>Teacher:  _________________________________________________________________________</w:t>
      </w:r>
    </w:p>
    <w:p w:rsidR="006D2865" w:rsidRDefault="000D7086" w:rsidP="006D2865">
      <w:r>
        <w:t>Observant</w:t>
      </w:r>
      <w:r w:rsidR="006D2865">
        <w:t>:  ______________________________________________________________________</w:t>
      </w:r>
    </w:p>
    <w:p w:rsidR="006D2865" w:rsidRPr="006D2865" w:rsidRDefault="006D2865">
      <w:pPr>
        <w:rPr>
          <w:b/>
        </w:rPr>
      </w:pPr>
      <w:r w:rsidRPr="006D2865">
        <w:rPr>
          <w:b/>
        </w:rPr>
        <w:t>Strengths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D2865" w:rsidTr="006D2865">
        <w:trPr>
          <w:trHeight w:val="1998"/>
        </w:trPr>
        <w:tc>
          <w:tcPr>
            <w:tcW w:w="8784" w:type="dxa"/>
          </w:tcPr>
          <w:p w:rsidR="006D2865" w:rsidRDefault="006D2865"/>
          <w:p w:rsidR="006D2865" w:rsidRDefault="006D2865"/>
        </w:tc>
      </w:tr>
    </w:tbl>
    <w:p w:rsidR="006D2865" w:rsidRPr="006D2865" w:rsidRDefault="006D2865">
      <w:pPr>
        <w:rPr>
          <w:sz w:val="16"/>
          <w:szCs w:val="16"/>
        </w:rPr>
      </w:pPr>
    </w:p>
    <w:p w:rsidR="006D2865" w:rsidRPr="006D2865" w:rsidRDefault="006D2865">
      <w:pPr>
        <w:rPr>
          <w:b/>
        </w:rPr>
      </w:pPr>
      <w:r w:rsidRPr="006D2865">
        <w:rPr>
          <w:b/>
        </w:rPr>
        <w:t>Development areas and suggestions: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D2865" w:rsidTr="006D2865">
        <w:trPr>
          <w:trHeight w:val="1996"/>
        </w:trPr>
        <w:tc>
          <w:tcPr>
            <w:tcW w:w="8784" w:type="dxa"/>
          </w:tcPr>
          <w:p w:rsidR="006D2865" w:rsidRDefault="006D2865" w:rsidP="00562F1A"/>
          <w:p w:rsidR="006D2865" w:rsidRDefault="006D2865" w:rsidP="00562F1A"/>
        </w:tc>
      </w:tr>
    </w:tbl>
    <w:p w:rsidR="006D2865" w:rsidRDefault="006D2865"/>
    <w:p w:rsidR="00287723" w:rsidRDefault="00287723"/>
    <w:p w:rsidR="00287723" w:rsidRDefault="00287723">
      <w:r>
        <w:t>As a reminder, some elements of constructive and unconstructive feedback.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85"/>
        <w:gridCol w:w="4621"/>
      </w:tblGrid>
      <w:tr w:rsidR="00C06F30" w:rsidRPr="00C06F30" w:rsidTr="001F6097">
        <w:trPr>
          <w:trHeight w:val="543"/>
        </w:trPr>
        <w:tc>
          <w:tcPr>
            <w:tcW w:w="4385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E7EFEA"/>
            <w:tcMar>
              <w:top w:w="60" w:type="dxa"/>
              <w:left w:w="147" w:type="dxa"/>
              <w:bottom w:w="60" w:type="dxa"/>
              <w:right w:w="147" w:type="dxa"/>
            </w:tcMar>
            <w:vAlign w:val="center"/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b/>
                <w:bCs/>
                <w:i/>
                <w:color w:val="000000" w:themeColor="dark1"/>
                <w:kern w:val="24"/>
                <w:szCs w:val="36"/>
                <w:lang w:eastAsia="en-GB"/>
              </w:rPr>
              <w:t>Constructive</w:t>
            </w:r>
          </w:p>
        </w:tc>
        <w:tc>
          <w:tcPr>
            <w:tcW w:w="4621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F9ADB3"/>
            <w:tcMar>
              <w:top w:w="60" w:type="dxa"/>
              <w:left w:w="147" w:type="dxa"/>
              <w:bottom w:w="60" w:type="dxa"/>
              <w:right w:w="147" w:type="dxa"/>
            </w:tcMar>
            <w:vAlign w:val="center"/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b/>
                <w:bCs/>
                <w:i/>
                <w:color w:val="000000" w:themeColor="dark1"/>
                <w:kern w:val="24"/>
                <w:szCs w:val="36"/>
                <w:lang w:eastAsia="en-GB"/>
              </w:rPr>
              <w:t>Unconstructive/ destructive</w:t>
            </w:r>
          </w:p>
        </w:tc>
      </w:tr>
      <w:tr w:rsidR="00C06F30" w:rsidRPr="00C06F30" w:rsidTr="001F6097">
        <w:trPr>
          <w:trHeight w:val="411"/>
        </w:trPr>
        <w:tc>
          <w:tcPr>
            <w:tcW w:w="4385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E7EFEA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Is about an </w:t>
            </w: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issue/action</w:t>
            </w:r>
          </w:p>
        </w:tc>
        <w:tc>
          <w:tcPr>
            <w:tcW w:w="4621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F9ADB3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Is about a </w:t>
            </w: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person</w:t>
            </w:r>
          </w:p>
        </w:tc>
      </w:tr>
      <w:tr w:rsidR="00C06F30" w:rsidRPr="00C06F30" w:rsidTr="001F6097">
        <w:trPr>
          <w:trHeight w:val="305"/>
        </w:trPr>
        <w:tc>
          <w:tcPr>
            <w:tcW w:w="4385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E7EFEA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Justifies the </w:t>
            </w: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 xml:space="preserve">views </w:t>
            </w:r>
          </w:p>
        </w:tc>
        <w:tc>
          <w:tcPr>
            <w:tcW w:w="4621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F9ADB3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Contains </w:t>
            </w: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judgements</w:t>
            </w: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 (good/bad)</w:t>
            </w:r>
          </w:p>
        </w:tc>
      </w:tr>
      <w:tr w:rsidR="00C06F30" w:rsidRPr="00C06F30" w:rsidTr="001F6097">
        <w:trPr>
          <w:trHeight w:val="269"/>
        </w:trPr>
        <w:tc>
          <w:tcPr>
            <w:tcW w:w="4385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E7EFEA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Is useful for </w:t>
            </w: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development</w:t>
            </w:r>
          </w:p>
        </w:tc>
        <w:tc>
          <w:tcPr>
            <w:tcW w:w="4621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F9ADB3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Does</w:t>
            </w: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 </w:t>
            </w: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not</w:t>
            </w: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 necessarily </w:t>
            </w: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benefit</w:t>
            </w: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 anyone</w:t>
            </w:r>
          </w:p>
        </w:tc>
      </w:tr>
      <w:tr w:rsidR="00C06F30" w:rsidRPr="00C06F30" w:rsidTr="001F6097">
        <w:trPr>
          <w:trHeight w:val="714"/>
        </w:trPr>
        <w:tc>
          <w:tcPr>
            <w:tcW w:w="4385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E7EFEA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 xml:space="preserve">Takes into account </w:t>
            </w: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>the recipient’s state of development, situation, ability to receive feedback etc.</w:t>
            </w:r>
          </w:p>
        </w:tc>
        <w:tc>
          <w:tcPr>
            <w:tcW w:w="4621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F9ADB3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Does not take</w:t>
            </w: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 the recipient into account, is given only from the evaluator’s perspective</w:t>
            </w:r>
          </w:p>
        </w:tc>
      </w:tr>
      <w:tr w:rsidR="00C06F30" w:rsidRPr="00C06F30" w:rsidTr="001F6097">
        <w:trPr>
          <w:trHeight w:val="528"/>
        </w:trPr>
        <w:tc>
          <w:tcPr>
            <w:tcW w:w="4385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E7EFEA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States </w:t>
            </w: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observations</w:t>
            </w:r>
          </w:p>
        </w:tc>
        <w:tc>
          <w:tcPr>
            <w:tcW w:w="4621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F9ADB3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 xml:space="preserve">Makes </w:t>
            </w: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subjective conclusions / interpretations</w:t>
            </w:r>
          </w:p>
        </w:tc>
      </w:tr>
      <w:tr w:rsidR="00C06F30" w:rsidRPr="00C06F30" w:rsidTr="001F6097">
        <w:trPr>
          <w:trHeight w:val="708"/>
        </w:trPr>
        <w:tc>
          <w:tcPr>
            <w:tcW w:w="4385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E7EFEA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>Two-way process</w:t>
            </w: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>, the recipient has an opportunity of responding</w:t>
            </w:r>
          </w:p>
        </w:tc>
        <w:tc>
          <w:tcPr>
            <w:tcW w:w="4621" w:type="dxa"/>
            <w:tcBorders>
              <w:top w:val="single" w:sz="8" w:space="0" w:color="00965E"/>
              <w:left w:val="single" w:sz="8" w:space="0" w:color="00965E"/>
              <w:bottom w:val="single" w:sz="8" w:space="0" w:color="00965E"/>
              <w:right w:val="single" w:sz="8" w:space="0" w:color="00965E"/>
            </w:tcBorders>
            <w:shd w:val="clear" w:color="auto" w:fill="F9ADB3"/>
            <w:tcMar>
              <w:top w:w="60" w:type="dxa"/>
              <w:left w:w="147" w:type="dxa"/>
              <w:bottom w:w="60" w:type="dxa"/>
              <w:right w:w="147" w:type="dxa"/>
            </w:tcMar>
            <w:hideMark/>
          </w:tcPr>
          <w:p w:rsidR="00C06F30" w:rsidRPr="00C06F30" w:rsidRDefault="00C06F30" w:rsidP="00C06F3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36"/>
                <w:lang w:eastAsia="en-GB"/>
              </w:rPr>
            </w:pPr>
            <w:r w:rsidRPr="00C06F3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Cs w:val="30"/>
                <w:lang w:eastAsia="en-GB"/>
              </w:rPr>
              <w:t xml:space="preserve">One-way process, </w:t>
            </w:r>
            <w:r w:rsidRPr="00C06F30">
              <w:rPr>
                <w:rFonts w:ascii="Arial" w:eastAsia="Times New Roman" w:hAnsi="Arial" w:cs="Arial"/>
                <w:color w:val="000000" w:themeColor="dark1"/>
                <w:kern w:val="24"/>
                <w:szCs w:val="30"/>
                <w:lang w:eastAsia="en-GB"/>
              </w:rPr>
              <w:t>no chance to answer or reflect.</w:t>
            </w:r>
          </w:p>
        </w:tc>
      </w:tr>
    </w:tbl>
    <w:p w:rsidR="00C06F30" w:rsidRPr="00C06F30" w:rsidRDefault="00C06F30"/>
    <w:sectPr w:rsidR="00C06F30" w:rsidRPr="00C06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30"/>
    <w:rsid w:val="00014954"/>
    <w:rsid w:val="0002207D"/>
    <w:rsid w:val="0005088E"/>
    <w:rsid w:val="00061D85"/>
    <w:rsid w:val="00066702"/>
    <w:rsid w:val="00083666"/>
    <w:rsid w:val="000930B3"/>
    <w:rsid w:val="000A38FF"/>
    <w:rsid w:val="000B076B"/>
    <w:rsid w:val="000C12DE"/>
    <w:rsid w:val="000D7086"/>
    <w:rsid w:val="000E6DC9"/>
    <w:rsid w:val="000F332D"/>
    <w:rsid w:val="00100A78"/>
    <w:rsid w:val="00107DAC"/>
    <w:rsid w:val="00141E9E"/>
    <w:rsid w:val="00151815"/>
    <w:rsid w:val="001B12CD"/>
    <w:rsid w:val="001B2B2F"/>
    <w:rsid w:val="001B719C"/>
    <w:rsid w:val="001C5C38"/>
    <w:rsid w:val="001E0EB7"/>
    <w:rsid w:val="001F07F3"/>
    <w:rsid w:val="001F6097"/>
    <w:rsid w:val="002065C1"/>
    <w:rsid w:val="00216480"/>
    <w:rsid w:val="002618E3"/>
    <w:rsid w:val="00272FA3"/>
    <w:rsid w:val="00287723"/>
    <w:rsid w:val="00293FF4"/>
    <w:rsid w:val="002973FF"/>
    <w:rsid w:val="002A7037"/>
    <w:rsid w:val="00301086"/>
    <w:rsid w:val="00301405"/>
    <w:rsid w:val="00315071"/>
    <w:rsid w:val="00316354"/>
    <w:rsid w:val="00317A2C"/>
    <w:rsid w:val="00332BED"/>
    <w:rsid w:val="00340B01"/>
    <w:rsid w:val="00350F7F"/>
    <w:rsid w:val="0035491D"/>
    <w:rsid w:val="00375DB8"/>
    <w:rsid w:val="003B79D3"/>
    <w:rsid w:val="003C3E4E"/>
    <w:rsid w:val="003D55F4"/>
    <w:rsid w:val="003D6F63"/>
    <w:rsid w:val="003E5186"/>
    <w:rsid w:val="00423142"/>
    <w:rsid w:val="00426D08"/>
    <w:rsid w:val="00430B4F"/>
    <w:rsid w:val="004317D9"/>
    <w:rsid w:val="004330CA"/>
    <w:rsid w:val="004407CC"/>
    <w:rsid w:val="00441684"/>
    <w:rsid w:val="00451B1D"/>
    <w:rsid w:val="004745DE"/>
    <w:rsid w:val="00474D16"/>
    <w:rsid w:val="00492D6A"/>
    <w:rsid w:val="004A00DD"/>
    <w:rsid w:val="004B2DB1"/>
    <w:rsid w:val="004C63B3"/>
    <w:rsid w:val="004E5F6F"/>
    <w:rsid w:val="004F1533"/>
    <w:rsid w:val="004F56BC"/>
    <w:rsid w:val="004F7A6C"/>
    <w:rsid w:val="004F7FDB"/>
    <w:rsid w:val="00520D9A"/>
    <w:rsid w:val="00530BDF"/>
    <w:rsid w:val="00572399"/>
    <w:rsid w:val="00573580"/>
    <w:rsid w:val="00577370"/>
    <w:rsid w:val="00581CE8"/>
    <w:rsid w:val="005A35E6"/>
    <w:rsid w:val="005B3966"/>
    <w:rsid w:val="005B4339"/>
    <w:rsid w:val="005B78AE"/>
    <w:rsid w:val="005D36EE"/>
    <w:rsid w:val="005E2218"/>
    <w:rsid w:val="005E28B5"/>
    <w:rsid w:val="005F3B66"/>
    <w:rsid w:val="005F571D"/>
    <w:rsid w:val="00634B2C"/>
    <w:rsid w:val="00636232"/>
    <w:rsid w:val="00645231"/>
    <w:rsid w:val="00647EBB"/>
    <w:rsid w:val="00667C7F"/>
    <w:rsid w:val="0067267B"/>
    <w:rsid w:val="00681067"/>
    <w:rsid w:val="00696546"/>
    <w:rsid w:val="006C3530"/>
    <w:rsid w:val="006D1985"/>
    <w:rsid w:val="006D2865"/>
    <w:rsid w:val="006E1C99"/>
    <w:rsid w:val="006F33B9"/>
    <w:rsid w:val="006F3EC8"/>
    <w:rsid w:val="00723000"/>
    <w:rsid w:val="007457B9"/>
    <w:rsid w:val="00745A2A"/>
    <w:rsid w:val="00753097"/>
    <w:rsid w:val="00786B2A"/>
    <w:rsid w:val="0079406A"/>
    <w:rsid w:val="007C48DD"/>
    <w:rsid w:val="007C7930"/>
    <w:rsid w:val="00834BDD"/>
    <w:rsid w:val="008362DB"/>
    <w:rsid w:val="0087635F"/>
    <w:rsid w:val="008865EC"/>
    <w:rsid w:val="0089171E"/>
    <w:rsid w:val="00896026"/>
    <w:rsid w:val="008C1473"/>
    <w:rsid w:val="008D4D0B"/>
    <w:rsid w:val="008F6559"/>
    <w:rsid w:val="00901066"/>
    <w:rsid w:val="009927FB"/>
    <w:rsid w:val="009A2923"/>
    <w:rsid w:val="009B52FA"/>
    <w:rsid w:val="009C5923"/>
    <w:rsid w:val="009D6C9C"/>
    <w:rsid w:val="009E36E8"/>
    <w:rsid w:val="009F4906"/>
    <w:rsid w:val="00A06D0C"/>
    <w:rsid w:val="00A07E77"/>
    <w:rsid w:val="00A3264D"/>
    <w:rsid w:val="00A3697D"/>
    <w:rsid w:val="00A52D7E"/>
    <w:rsid w:val="00A606E9"/>
    <w:rsid w:val="00A63499"/>
    <w:rsid w:val="00A66E9A"/>
    <w:rsid w:val="00AA1060"/>
    <w:rsid w:val="00AA144F"/>
    <w:rsid w:val="00AA7C99"/>
    <w:rsid w:val="00AB551D"/>
    <w:rsid w:val="00AD3A42"/>
    <w:rsid w:val="00B03E5D"/>
    <w:rsid w:val="00B2606D"/>
    <w:rsid w:val="00B3690B"/>
    <w:rsid w:val="00B3775D"/>
    <w:rsid w:val="00B63A11"/>
    <w:rsid w:val="00B844AB"/>
    <w:rsid w:val="00B910A7"/>
    <w:rsid w:val="00BD4469"/>
    <w:rsid w:val="00BD60EE"/>
    <w:rsid w:val="00BD6CE2"/>
    <w:rsid w:val="00BE5484"/>
    <w:rsid w:val="00BE6997"/>
    <w:rsid w:val="00BE75CC"/>
    <w:rsid w:val="00BE7B40"/>
    <w:rsid w:val="00C06F30"/>
    <w:rsid w:val="00C35981"/>
    <w:rsid w:val="00C44353"/>
    <w:rsid w:val="00C61605"/>
    <w:rsid w:val="00C75EE2"/>
    <w:rsid w:val="00C84500"/>
    <w:rsid w:val="00C919FC"/>
    <w:rsid w:val="00C948E1"/>
    <w:rsid w:val="00C95AA5"/>
    <w:rsid w:val="00CC046F"/>
    <w:rsid w:val="00CC385B"/>
    <w:rsid w:val="00CC7B15"/>
    <w:rsid w:val="00CD73B7"/>
    <w:rsid w:val="00CE0E5D"/>
    <w:rsid w:val="00CE5AD6"/>
    <w:rsid w:val="00CE6A57"/>
    <w:rsid w:val="00CF15A3"/>
    <w:rsid w:val="00CF5290"/>
    <w:rsid w:val="00D15265"/>
    <w:rsid w:val="00D20C2E"/>
    <w:rsid w:val="00D238EC"/>
    <w:rsid w:val="00D40F03"/>
    <w:rsid w:val="00D47CAC"/>
    <w:rsid w:val="00D5250F"/>
    <w:rsid w:val="00D57B48"/>
    <w:rsid w:val="00D65CE8"/>
    <w:rsid w:val="00D704CF"/>
    <w:rsid w:val="00D82865"/>
    <w:rsid w:val="00D9153D"/>
    <w:rsid w:val="00DA628B"/>
    <w:rsid w:val="00DA7DE8"/>
    <w:rsid w:val="00DB1219"/>
    <w:rsid w:val="00DB6579"/>
    <w:rsid w:val="00DE46CE"/>
    <w:rsid w:val="00E13E68"/>
    <w:rsid w:val="00E175E9"/>
    <w:rsid w:val="00E17B3A"/>
    <w:rsid w:val="00E24F04"/>
    <w:rsid w:val="00E70701"/>
    <w:rsid w:val="00E86C6B"/>
    <w:rsid w:val="00E910CC"/>
    <w:rsid w:val="00EA6D89"/>
    <w:rsid w:val="00EB3950"/>
    <w:rsid w:val="00EC26E5"/>
    <w:rsid w:val="00ED02F6"/>
    <w:rsid w:val="00ED224A"/>
    <w:rsid w:val="00F1081E"/>
    <w:rsid w:val="00F3520A"/>
    <w:rsid w:val="00F72381"/>
    <w:rsid w:val="00F94CD0"/>
    <w:rsid w:val="00FA6597"/>
    <w:rsid w:val="00FD208C"/>
    <w:rsid w:val="00FE0CFB"/>
    <w:rsid w:val="00FE143D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FE8C5-9AD3-425C-AECF-4CD894E3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0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Parviainen Jukka</dc:creator>
  <cp:keywords/>
  <dc:description/>
  <cp:lastModifiedBy>Parviainen Jukka</cp:lastModifiedBy>
  <cp:revision>4</cp:revision>
  <cp:lastPrinted>2016-11-04T15:41:00Z</cp:lastPrinted>
  <dcterms:created xsi:type="dcterms:W3CDTF">2016-11-04T15:09:00Z</dcterms:created>
  <dcterms:modified xsi:type="dcterms:W3CDTF">2016-11-29T12:36:00Z</dcterms:modified>
</cp:coreProperties>
</file>