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4B" w:rsidRPr="00E66361" w:rsidRDefault="00E66361" w:rsidP="00114DA1">
      <w:pPr>
        <w:pStyle w:val="Title"/>
        <w:rPr>
          <w:rFonts w:eastAsia="SimSun"/>
          <w:lang w:val="en-GB"/>
        </w:rPr>
      </w:pPr>
      <w:bookmarkStart w:id="0" w:name="_GoBack"/>
      <w:bookmarkEnd w:id="0"/>
      <w:r>
        <w:rPr>
          <w:rFonts w:eastAsia="SimSun" w:hint="eastAsia"/>
          <w:lang w:val="en-GB"/>
        </w:rPr>
        <w:t>Compulsory Licensing as Antitrust and Merger Remedy in EU</w:t>
      </w:r>
    </w:p>
    <w:p w:rsidR="006014B7" w:rsidRPr="00CE18D4" w:rsidRDefault="006014B7" w:rsidP="00CE18D4">
      <w:pPr>
        <w:pStyle w:val="Heading1"/>
        <w:rPr>
          <w:shd w:val="clear" w:color="auto" w:fill="FFFFFF"/>
          <w:lang w:val="en-GB"/>
        </w:rPr>
      </w:pPr>
      <w:r w:rsidRPr="00CE18D4">
        <w:rPr>
          <w:shd w:val="clear" w:color="auto" w:fill="FFFFFF"/>
          <w:lang w:val="en-GB"/>
        </w:rPr>
        <w:t>Introduction</w:t>
      </w:r>
    </w:p>
    <w:p w:rsidR="00F452A5" w:rsidRPr="00844C55" w:rsidRDefault="00DB65AB" w:rsidP="00F452A5">
      <w:pPr>
        <w:rPr>
          <w:rFonts w:eastAsia="SimSun"/>
          <w:lang w:val="en-GB"/>
        </w:rPr>
      </w:pPr>
      <w:r>
        <w:rPr>
          <w:rFonts w:eastAsia="SimSun" w:cs="Times New Roman" w:hint="eastAsia"/>
          <w:lang w:val="en-GB"/>
        </w:rPr>
        <w:t xml:space="preserve">Compulsory licensing is the most common remedy adopted to resolve the competition concerns in relation to </w:t>
      </w:r>
      <w:r>
        <w:rPr>
          <w:rFonts w:eastAsia="SimSun" w:hint="eastAsia"/>
          <w:lang w:val="en-GB"/>
        </w:rPr>
        <w:t>intellectual property</w:t>
      </w:r>
      <w:r w:rsidR="00606FCB">
        <w:rPr>
          <w:rFonts w:eastAsia="SimSun" w:hint="eastAsia"/>
          <w:lang w:val="en-GB"/>
        </w:rPr>
        <w:t xml:space="preserve"> </w:t>
      </w:r>
      <w:r>
        <w:rPr>
          <w:rFonts w:eastAsia="SimSun" w:cs="Times New Roman" w:hint="eastAsia"/>
          <w:lang w:val="en-GB"/>
        </w:rPr>
        <w:t xml:space="preserve">rights </w:t>
      </w:r>
      <w:r w:rsidR="00606FCB">
        <w:rPr>
          <w:rFonts w:eastAsia="SimSun" w:hint="eastAsia"/>
          <w:lang w:val="en-GB"/>
        </w:rPr>
        <w:t xml:space="preserve"> (</w:t>
      </w:r>
      <w:r w:rsidR="00606FCB">
        <w:rPr>
          <w:rFonts w:eastAsia="SimSun" w:cs="Times New Roman" w:hint="eastAsia"/>
          <w:lang w:val="en-GB"/>
        </w:rPr>
        <w:t xml:space="preserve">IPRs) </w:t>
      </w:r>
      <w:r>
        <w:rPr>
          <w:rFonts w:eastAsia="SimSun" w:cs="Times New Roman" w:hint="eastAsia"/>
          <w:lang w:val="en-GB"/>
        </w:rPr>
        <w:t xml:space="preserve">in both </w:t>
      </w:r>
      <w:r w:rsidR="00F15A70">
        <w:rPr>
          <w:rFonts w:eastAsia="SimSun" w:cs="Times New Roman" w:hint="eastAsia"/>
          <w:lang w:val="en-GB"/>
        </w:rPr>
        <w:t xml:space="preserve">EU </w:t>
      </w:r>
      <w:r>
        <w:rPr>
          <w:rFonts w:eastAsia="SimSun" w:cs="Times New Roman" w:hint="eastAsia"/>
          <w:lang w:val="en-GB"/>
        </w:rPr>
        <w:t xml:space="preserve">antitrust and merger cases. </w:t>
      </w:r>
      <w:r w:rsidR="00F15A70">
        <w:rPr>
          <w:rFonts w:eastAsia="SimSun" w:cs="Times New Roman"/>
          <w:lang w:val="en-GB"/>
        </w:rPr>
        <w:t>H</w:t>
      </w:r>
      <w:r w:rsidR="00F15A70">
        <w:rPr>
          <w:rFonts w:eastAsia="SimSun" w:cs="Times New Roman" w:hint="eastAsia"/>
          <w:lang w:val="en-GB"/>
        </w:rPr>
        <w:t xml:space="preserve">owever, the debates never stop on the applicability and </w:t>
      </w:r>
      <w:r w:rsidR="008F2290">
        <w:rPr>
          <w:rFonts w:eastAsia="SimSun" w:cs="Times New Roman" w:hint="eastAsia"/>
          <w:lang w:val="en-GB"/>
        </w:rPr>
        <w:t>conditions</w:t>
      </w:r>
      <w:r w:rsidR="00F15A70">
        <w:rPr>
          <w:rFonts w:eastAsia="SimSun" w:cs="Times New Roman" w:hint="eastAsia"/>
          <w:lang w:val="en-GB"/>
        </w:rPr>
        <w:t xml:space="preserve"> of </w:t>
      </w:r>
      <w:r w:rsidR="00F15A70">
        <w:rPr>
          <w:rFonts w:eastAsia="SimSun" w:cs="Times New Roman"/>
          <w:lang w:val="en-GB"/>
        </w:rPr>
        <w:t>compulsory</w:t>
      </w:r>
      <w:r w:rsidR="00F15A70">
        <w:rPr>
          <w:rFonts w:eastAsia="SimSun" w:cs="Times New Roman" w:hint="eastAsia"/>
          <w:lang w:val="en-GB"/>
        </w:rPr>
        <w:t xml:space="preserve"> licenses</w:t>
      </w:r>
      <w:r w:rsidR="00E05A03">
        <w:rPr>
          <w:rFonts w:eastAsia="SimSun" w:cs="Times New Roman" w:hint="eastAsia"/>
          <w:lang w:val="en-GB"/>
        </w:rPr>
        <w:t xml:space="preserve"> b</w:t>
      </w:r>
      <w:r w:rsidR="00E05A03">
        <w:rPr>
          <w:rFonts w:eastAsia="SimSun" w:cs="Times New Roman"/>
          <w:lang w:val="en-GB"/>
        </w:rPr>
        <w:t>ecause</w:t>
      </w:r>
      <w:r w:rsidR="00E05A03">
        <w:rPr>
          <w:rFonts w:eastAsia="SimSun" w:cs="Times New Roman" w:hint="eastAsia"/>
          <w:lang w:val="en-GB"/>
        </w:rPr>
        <w:t xml:space="preserve"> of</w:t>
      </w:r>
      <w:r w:rsidR="00F15A70">
        <w:rPr>
          <w:rFonts w:eastAsia="SimSun" w:cs="Times New Roman" w:hint="eastAsia"/>
          <w:lang w:val="en-GB"/>
        </w:rPr>
        <w:t xml:space="preserve"> the subtle relationship between </w:t>
      </w:r>
      <w:r w:rsidR="00606FCB">
        <w:rPr>
          <w:rFonts w:eastAsia="SimSun" w:cs="Times New Roman" w:hint="eastAsia"/>
          <w:lang w:val="en-GB"/>
        </w:rPr>
        <w:t xml:space="preserve">IPRs </w:t>
      </w:r>
      <w:r w:rsidR="00F15A70">
        <w:rPr>
          <w:rFonts w:eastAsia="SimSun" w:cs="Times New Roman" w:hint="eastAsia"/>
          <w:lang w:val="en-GB"/>
        </w:rPr>
        <w:t xml:space="preserve">and </w:t>
      </w:r>
      <w:r w:rsidR="00F15A70">
        <w:rPr>
          <w:rFonts w:eastAsia="SimSun" w:cs="Times New Roman"/>
          <w:lang w:val="en-GB"/>
        </w:rPr>
        <w:t>competition</w:t>
      </w:r>
      <w:r w:rsidR="00F15A70">
        <w:rPr>
          <w:rFonts w:eastAsia="SimSun" w:cs="Times New Roman" w:hint="eastAsia"/>
          <w:lang w:val="en-GB"/>
        </w:rPr>
        <w:t xml:space="preserve"> law. </w:t>
      </w:r>
      <w:r w:rsidR="00EC2E3A" w:rsidRPr="00844C55">
        <w:rPr>
          <w:lang w:val="en-GB"/>
        </w:rPr>
        <w:t xml:space="preserve">For a very long time, </w:t>
      </w:r>
      <w:r w:rsidR="00606FCB">
        <w:rPr>
          <w:lang w:val="en-GB"/>
        </w:rPr>
        <w:t xml:space="preserve">IPRs </w:t>
      </w:r>
      <w:r w:rsidR="00EC2E3A" w:rsidRPr="00844C55">
        <w:rPr>
          <w:lang w:val="en-GB"/>
        </w:rPr>
        <w:t xml:space="preserve">were often viewed as a threat to market competition by competition law. </w:t>
      </w:r>
      <w:r w:rsidR="00E05A03">
        <w:rPr>
          <w:rFonts w:eastAsia="SimSun" w:hint="eastAsia"/>
          <w:lang w:val="en-GB"/>
        </w:rPr>
        <w:t>U</w:t>
      </w:r>
      <w:r w:rsidR="0068274B">
        <w:rPr>
          <w:lang w:val="en-GB"/>
        </w:rPr>
        <w:t>ntil</w:t>
      </w:r>
      <w:r w:rsidR="00EC2E3A" w:rsidRPr="00844C55">
        <w:rPr>
          <w:lang w:val="en-GB"/>
        </w:rPr>
        <w:t xml:space="preserve"> the recent decades, it has been recognised that </w:t>
      </w:r>
      <w:r w:rsidR="00606FCB">
        <w:rPr>
          <w:rFonts w:eastAsia="SimSun" w:hint="eastAsia"/>
          <w:lang w:val="en-GB"/>
        </w:rPr>
        <w:t>intellectual property (</w:t>
      </w:r>
      <w:r w:rsidR="00EC2E3A" w:rsidRPr="00844C55">
        <w:rPr>
          <w:lang w:val="en-GB"/>
        </w:rPr>
        <w:t>IP</w:t>
      </w:r>
      <w:r w:rsidR="00606FCB">
        <w:rPr>
          <w:rFonts w:eastAsia="SimSun" w:hint="eastAsia"/>
          <w:lang w:val="en-GB"/>
        </w:rPr>
        <w:t>)</w:t>
      </w:r>
      <w:r w:rsidR="00EC2E3A" w:rsidRPr="00844C55">
        <w:rPr>
          <w:lang w:val="en-GB"/>
        </w:rPr>
        <w:t xml:space="preserve"> law and competition law were not mutually inconsistent</w:t>
      </w:r>
      <w:r w:rsidR="00DC7C06">
        <w:rPr>
          <w:rFonts w:eastAsia="SimSun" w:hint="eastAsia"/>
          <w:lang w:val="en-GB"/>
        </w:rPr>
        <w:t xml:space="preserve"> and t</w:t>
      </w:r>
      <w:r w:rsidR="0068274B" w:rsidRPr="00844C55">
        <w:rPr>
          <w:lang w:val="en-GB"/>
        </w:rPr>
        <w:t xml:space="preserve">hese two regimes </w:t>
      </w:r>
      <w:r w:rsidR="0068274B">
        <w:rPr>
          <w:lang w:val="en-GB"/>
        </w:rPr>
        <w:t xml:space="preserve">pursue </w:t>
      </w:r>
      <w:r w:rsidR="00EC2E3A" w:rsidRPr="00844C55">
        <w:rPr>
          <w:lang w:val="en-GB"/>
        </w:rPr>
        <w:t>the same overall goal of promoting innovation and enhancing consumer welfare</w:t>
      </w:r>
      <w:r w:rsidR="0068274B" w:rsidRPr="0068274B">
        <w:rPr>
          <w:lang w:val="en-GB"/>
        </w:rPr>
        <w:t xml:space="preserve"> </w:t>
      </w:r>
      <w:r w:rsidR="0068274B" w:rsidRPr="00844C55">
        <w:rPr>
          <w:lang w:val="en-GB"/>
        </w:rPr>
        <w:t>through rather different means</w:t>
      </w:r>
      <w:r w:rsidR="00EC2E3A" w:rsidRPr="00844C55">
        <w:rPr>
          <w:lang w:val="en-GB"/>
        </w:rPr>
        <w:t>.</w:t>
      </w:r>
      <w:r w:rsidR="00EC2E3A" w:rsidRPr="00844C55">
        <w:rPr>
          <w:rStyle w:val="FootnoteReference"/>
          <w:lang w:val="en-GB"/>
        </w:rPr>
        <w:footnoteReference w:id="1"/>
      </w:r>
      <w:r w:rsidR="00EC2E3A" w:rsidRPr="00844C55">
        <w:rPr>
          <w:lang w:val="en-GB"/>
        </w:rPr>
        <w:t xml:space="preserve"> </w:t>
      </w:r>
      <w:r w:rsidR="00DC7C06">
        <w:rPr>
          <w:rFonts w:eastAsia="SimSun" w:hint="eastAsia"/>
          <w:lang w:val="en-GB"/>
        </w:rPr>
        <w:t xml:space="preserve">IP law promotes innovation and competition law </w:t>
      </w:r>
      <w:r w:rsidR="0092742B">
        <w:rPr>
          <w:rFonts w:eastAsia="SimSun" w:hint="eastAsia"/>
          <w:lang w:val="en-GB"/>
        </w:rPr>
        <w:t>preserves competition</w:t>
      </w:r>
      <w:r w:rsidR="00DC7C06">
        <w:rPr>
          <w:rFonts w:eastAsia="SimSun" w:hint="eastAsia"/>
          <w:lang w:val="en-GB"/>
        </w:rPr>
        <w:t xml:space="preserve">. </w:t>
      </w:r>
      <w:r w:rsidR="00BB4BAF">
        <w:rPr>
          <w:rFonts w:eastAsia="SimSun"/>
          <w:lang w:val="en-GB"/>
        </w:rPr>
        <w:t>C</w:t>
      </w:r>
      <w:r w:rsidR="00BB4BAF">
        <w:rPr>
          <w:rFonts w:eastAsia="SimSun" w:hint="eastAsia"/>
          <w:lang w:val="en-GB"/>
        </w:rPr>
        <w:t xml:space="preserve">ompetition law generally </w:t>
      </w:r>
      <w:r w:rsidR="00E05A03">
        <w:rPr>
          <w:rFonts w:eastAsia="SimSun" w:hint="eastAsia"/>
          <w:lang w:val="en-GB"/>
        </w:rPr>
        <w:t>should</w:t>
      </w:r>
      <w:r w:rsidR="00BB4BAF">
        <w:rPr>
          <w:rFonts w:eastAsia="SimSun" w:hint="eastAsia"/>
          <w:lang w:val="en-GB"/>
        </w:rPr>
        <w:t xml:space="preserve"> not </w:t>
      </w:r>
      <w:r w:rsidR="00BB4BAF">
        <w:rPr>
          <w:rFonts w:eastAsia="SimSun"/>
          <w:lang w:val="en-GB"/>
        </w:rPr>
        <w:t>intervene</w:t>
      </w:r>
      <w:r w:rsidR="00BB4BAF">
        <w:rPr>
          <w:rFonts w:eastAsia="SimSun" w:hint="eastAsia"/>
          <w:lang w:val="en-GB"/>
        </w:rPr>
        <w:t xml:space="preserve"> </w:t>
      </w:r>
      <w:r w:rsidR="00F452A5">
        <w:rPr>
          <w:rFonts w:eastAsia="SimSun" w:hint="eastAsia"/>
          <w:lang w:val="en-GB"/>
        </w:rPr>
        <w:t xml:space="preserve">with </w:t>
      </w:r>
      <w:r w:rsidR="00BB4BAF">
        <w:rPr>
          <w:rFonts w:eastAsia="SimSun"/>
          <w:lang w:val="en-GB"/>
        </w:rPr>
        <w:t>the</w:t>
      </w:r>
      <w:r w:rsidR="00356185" w:rsidRPr="00844C55">
        <w:rPr>
          <w:lang w:val="en-GB" w:bidi="ar-SA"/>
        </w:rPr>
        <w:t xml:space="preserve"> freedom</w:t>
      </w:r>
      <w:r w:rsidR="00356185" w:rsidRPr="00844C55">
        <w:rPr>
          <w:rFonts w:eastAsia="SimSun"/>
          <w:lang w:val="en-GB" w:bidi="ar-SA"/>
        </w:rPr>
        <w:t xml:space="preserve"> </w:t>
      </w:r>
      <w:r w:rsidR="00356185" w:rsidRPr="00844C55">
        <w:rPr>
          <w:lang w:val="en-GB" w:bidi="ar-SA"/>
        </w:rPr>
        <w:t xml:space="preserve">of IP </w:t>
      </w:r>
      <w:r w:rsidR="00356185" w:rsidRPr="00844C55">
        <w:rPr>
          <w:rFonts w:eastAsia="SimSun"/>
          <w:lang w:val="en-GB" w:bidi="ar-SA"/>
        </w:rPr>
        <w:t>holder</w:t>
      </w:r>
      <w:r w:rsidR="00356185" w:rsidRPr="00844C55">
        <w:rPr>
          <w:lang w:val="en-GB" w:bidi="ar-SA"/>
        </w:rPr>
        <w:t>s</w:t>
      </w:r>
      <w:r w:rsidR="00BB4BAF">
        <w:rPr>
          <w:rFonts w:eastAsia="SimSun" w:cs="Times New Roman" w:hint="eastAsia"/>
          <w:lang w:val="en-GB"/>
        </w:rPr>
        <w:t>,</w:t>
      </w:r>
      <w:r w:rsidR="00BB4BAF" w:rsidRPr="00844C55">
        <w:rPr>
          <w:rFonts w:eastAsia="SimSun" w:cs="Times New Roman"/>
          <w:lang w:val="en-GB"/>
        </w:rPr>
        <w:t xml:space="preserve"> but </w:t>
      </w:r>
      <w:r w:rsidR="00DC7C06">
        <w:rPr>
          <w:rFonts w:eastAsia="SimSun" w:cs="Times New Roman" w:hint="eastAsia"/>
          <w:lang w:val="en-GB"/>
        </w:rPr>
        <w:t xml:space="preserve">if </w:t>
      </w:r>
      <w:r w:rsidR="00356185">
        <w:rPr>
          <w:rFonts w:eastAsia="SimSun" w:cs="Times New Roman"/>
          <w:lang w:val="en-GB"/>
        </w:rPr>
        <w:t xml:space="preserve">an </w:t>
      </w:r>
      <w:r w:rsidR="00356185" w:rsidRPr="00844C55">
        <w:rPr>
          <w:rFonts w:eastAsia="SimSun" w:cs="Times New Roman"/>
          <w:lang w:val="en-GB"/>
        </w:rPr>
        <w:t xml:space="preserve">exercise of </w:t>
      </w:r>
      <w:r w:rsidR="00356185">
        <w:rPr>
          <w:rFonts w:eastAsia="SimSun" w:cs="Times New Roman" w:hint="eastAsia"/>
          <w:lang w:val="en-GB"/>
        </w:rPr>
        <w:t xml:space="preserve">an </w:t>
      </w:r>
      <w:r w:rsidR="00606FCB">
        <w:rPr>
          <w:rFonts w:eastAsia="SimSun" w:cs="Times New Roman"/>
          <w:lang w:val="en-GB"/>
        </w:rPr>
        <w:t xml:space="preserve">IPR </w:t>
      </w:r>
      <w:r w:rsidR="0092742B">
        <w:rPr>
          <w:rFonts w:eastAsia="SimSun" w:cs="Times New Roman" w:hint="eastAsia"/>
          <w:lang w:val="en-GB"/>
        </w:rPr>
        <w:t xml:space="preserve">does or </w:t>
      </w:r>
      <w:r w:rsidR="00BB4BAF" w:rsidRPr="00844C55">
        <w:rPr>
          <w:rFonts w:eastAsia="SimSun" w:cs="Times New Roman"/>
          <w:lang w:val="en-GB"/>
        </w:rPr>
        <w:t>might hamper mar</w:t>
      </w:r>
      <w:r w:rsidR="00DC7C06">
        <w:rPr>
          <w:rFonts w:eastAsia="SimSun" w:cs="Times New Roman"/>
          <w:lang w:val="en-GB"/>
        </w:rPr>
        <w:t>ket competi</w:t>
      </w:r>
      <w:r w:rsidR="00DC7C06">
        <w:rPr>
          <w:rFonts w:eastAsia="SimSun" w:cs="Times New Roman" w:hint="eastAsia"/>
          <w:lang w:val="en-GB"/>
        </w:rPr>
        <w:t>tion</w:t>
      </w:r>
      <w:r w:rsidR="0092742B">
        <w:rPr>
          <w:rFonts w:eastAsia="SimSun" w:cs="Times New Roman" w:hint="eastAsia"/>
          <w:lang w:val="en-GB"/>
        </w:rPr>
        <w:t xml:space="preserve">, competition law </w:t>
      </w:r>
      <w:r w:rsidR="00F452A5">
        <w:rPr>
          <w:rFonts w:eastAsia="SimSun" w:cs="Times New Roman" w:hint="eastAsia"/>
          <w:lang w:val="en-GB"/>
        </w:rPr>
        <w:t>has to take action to stop the anti-competitive effect</w:t>
      </w:r>
      <w:r w:rsidR="00BB4BAF" w:rsidRPr="00844C55">
        <w:rPr>
          <w:rFonts w:eastAsia="SimSun" w:cs="Times New Roman"/>
          <w:lang w:val="en-GB"/>
        </w:rPr>
        <w:t>.</w:t>
      </w:r>
      <w:r w:rsidR="00DC7C06" w:rsidRPr="00DC7C06">
        <w:rPr>
          <w:rFonts w:eastAsia="SimSun" w:cs="Times New Roman"/>
          <w:lang w:val="en-GB"/>
        </w:rPr>
        <w:t xml:space="preserve"> </w:t>
      </w:r>
      <w:r w:rsidR="00F15A70">
        <w:rPr>
          <w:lang w:val="en-GB"/>
        </w:rPr>
        <w:t>A proper balance is required between competition and IP policies in order to foster innovation.</w:t>
      </w:r>
      <w:r w:rsidR="00F15A70" w:rsidRPr="00844C55">
        <w:rPr>
          <w:rStyle w:val="FootnoteReference"/>
          <w:rFonts w:ascii="TimesNewRoman" w:hAnsi="TimesNewRoman" w:cs="TimesNewRoman"/>
          <w:szCs w:val="24"/>
          <w:lang w:val="en-GB"/>
        </w:rPr>
        <w:footnoteReference w:id="2"/>
      </w:r>
    </w:p>
    <w:p w:rsidR="00DC7C06" w:rsidRPr="00A46B47" w:rsidRDefault="00DC7C06" w:rsidP="00DC7C06">
      <w:pPr>
        <w:rPr>
          <w:rFonts w:eastAsia="SimSun" w:cs="Times New Roman"/>
          <w:lang w:val="en-GB"/>
        </w:rPr>
      </w:pPr>
      <w:r w:rsidRPr="00844C55">
        <w:rPr>
          <w:rFonts w:eastAsia="SimSun" w:cs="Times New Roman"/>
          <w:lang w:val="en-GB"/>
        </w:rPr>
        <w:t>T</w:t>
      </w:r>
      <w:r w:rsidRPr="00844C55">
        <w:rPr>
          <w:rFonts w:cs="Times New Roman"/>
          <w:lang w:val="en-GB"/>
        </w:rPr>
        <w:t xml:space="preserve">he </w:t>
      </w:r>
      <w:r w:rsidR="0092742B">
        <w:rPr>
          <w:rFonts w:eastAsia="SimSun" w:cs="Times New Roman"/>
          <w:lang w:val="en-GB"/>
        </w:rPr>
        <w:t>European</w:t>
      </w:r>
      <w:r w:rsidR="0092742B">
        <w:rPr>
          <w:rFonts w:eastAsia="SimSun" w:cs="Times New Roman" w:hint="eastAsia"/>
          <w:lang w:val="en-GB"/>
        </w:rPr>
        <w:t xml:space="preserve"> </w:t>
      </w:r>
      <w:r w:rsidRPr="00844C55">
        <w:rPr>
          <w:rFonts w:eastAsia="SimSun" w:cs="Times New Roman"/>
          <w:lang w:val="en-GB"/>
        </w:rPr>
        <w:t xml:space="preserve">Commission </w:t>
      </w:r>
      <w:r w:rsidR="0092742B">
        <w:rPr>
          <w:rFonts w:eastAsia="SimSun" w:cs="Times New Roman" w:hint="eastAsia"/>
          <w:lang w:val="en-GB"/>
        </w:rPr>
        <w:t xml:space="preserve">(the Commission) </w:t>
      </w:r>
      <w:r w:rsidRPr="00844C55">
        <w:rPr>
          <w:rFonts w:eastAsia="SimSun" w:cs="Times New Roman"/>
          <w:lang w:val="en-GB"/>
        </w:rPr>
        <w:t>has</w:t>
      </w:r>
      <w:r w:rsidRPr="00844C55">
        <w:rPr>
          <w:rFonts w:cs="Times New Roman"/>
          <w:lang w:val="en-GB"/>
        </w:rPr>
        <w:t xml:space="preserve"> been, with caution and prudence, assessing anti-competitive effect</w:t>
      </w:r>
      <w:r w:rsidRPr="00844C55">
        <w:rPr>
          <w:rFonts w:eastAsia="SimSun" w:cs="Times New Roman"/>
          <w:lang w:val="en-GB"/>
        </w:rPr>
        <w:t>s</w:t>
      </w:r>
      <w:r w:rsidRPr="00844C55">
        <w:rPr>
          <w:rFonts w:cs="Times New Roman"/>
          <w:lang w:val="en-GB"/>
        </w:rPr>
        <w:t xml:space="preserve"> of </w:t>
      </w:r>
      <w:r w:rsidR="00606FCB">
        <w:rPr>
          <w:rFonts w:cs="Times New Roman"/>
          <w:lang w:val="en-GB"/>
        </w:rPr>
        <w:t xml:space="preserve">IPRs </w:t>
      </w:r>
      <w:r w:rsidRPr="00844C55">
        <w:rPr>
          <w:rFonts w:cs="Times New Roman"/>
          <w:lang w:val="en-GB"/>
        </w:rPr>
        <w:t xml:space="preserve">in </w:t>
      </w:r>
      <w:r w:rsidR="00234563">
        <w:rPr>
          <w:rFonts w:eastAsia="SimSun" w:cs="Times New Roman" w:hint="eastAsia"/>
          <w:lang w:val="en-GB"/>
        </w:rPr>
        <w:t>antitrust and merger</w:t>
      </w:r>
      <w:r w:rsidRPr="00844C55">
        <w:rPr>
          <w:rFonts w:cs="Times New Roman"/>
          <w:lang w:val="en-GB"/>
        </w:rPr>
        <w:t xml:space="preserve"> cases. It capture</w:t>
      </w:r>
      <w:r w:rsidR="00356185">
        <w:rPr>
          <w:rFonts w:eastAsia="SimSun" w:cs="Times New Roman" w:hint="eastAsia"/>
          <w:lang w:val="en-GB"/>
        </w:rPr>
        <w:t>s</w:t>
      </w:r>
      <w:r w:rsidRPr="00844C55">
        <w:rPr>
          <w:rFonts w:cs="Times New Roman"/>
          <w:lang w:val="en-GB"/>
        </w:rPr>
        <w:t xml:space="preserve"> that</w:t>
      </w:r>
      <w:r w:rsidRPr="00844C55">
        <w:rPr>
          <w:rFonts w:eastAsia="SimSun" w:cs="Times New Roman"/>
          <w:lang w:val="en-GB"/>
        </w:rPr>
        <w:t xml:space="preserve"> refusals to license </w:t>
      </w:r>
      <w:r w:rsidR="00606FCB">
        <w:rPr>
          <w:rFonts w:eastAsia="SimSun" w:cs="Times New Roman"/>
          <w:lang w:val="en-GB"/>
        </w:rPr>
        <w:t xml:space="preserve">IPRs </w:t>
      </w:r>
      <w:r w:rsidRPr="00844C55">
        <w:rPr>
          <w:rFonts w:eastAsia="SimSun" w:cs="Times New Roman"/>
          <w:lang w:val="en-GB"/>
        </w:rPr>
        <w:t>may harm consumer welfare</w:t>
      </w:r>
      <w:r w:rsidRPr="00844C55">
        <w:rPr>
          <w:rFonts w:cs="Times New Roman"/>
          <w:lang w:val="en-GB"/>
        </w:rPr>
        <w:t xml:space="preserve"> under </w:t>
      </w:r>
      <w:r w:rsidRPr="00844C55">
        <w:rPr>
          <w:rFonts w:eastAsia="SimSun" w:cs="Times New Roman"/>
          <w:lang w:val="en-GB"/>
        </w:rPr>
        <w:t xml:space="preserve">very few exceptional circumstances, </w:t>
      </w:r>
      <w:r w:rsidRPr="00844C55">
        <w:rPr>
          <w:rFonts w:cs="Times New Roman"/>
          <w:lang w:val="en-GB"/>
        </w:rPr>
        <w:t xml:space="preserve">and that concentrations of </w:t>
      </w:r>
      <w:r w:rsidR="00606FCB">
        <w:rPr>
          <w:rFonts w:cs="Times New Roman"/>
          <w:lang w:val="en-GB"/>
        </w:rPr>
        <w:t xml:space="preserve">IPRs </w:t>
      </w:r>
      <w:r w:rsidRPr="00844C55">
        <w:rPr>
          <w:rFonts w:cs="Times New Roman"/>
          <w:lang w:val="en-GB"/>
        </w:rPr>
        <w:t xml:space="preserve">would facilitate competition infringement post merger. </w:t>
      </w:r>
      <w:r w:rsidR="00E05A03">
        <w:rPr>
          <w:rFonts w:eastAsia="SimSun" w:cs="Times New Roman" w:hint="eastAsia"/>
          <w:lang w:val="en-GB"/>
        </w:rPr>
        <w:t xml:space="preserve">Competition law may compel </w:t>
      </w:r>
      <w:r w:rsidR="00D8492E">
        <w:rPr>
          <w:rFonts w:eastAsia="SimSun" w:cs="Times New Roman" w:hint="eastAsia"/>
          <w:lang w:val="en-GB"/>
        </w:rPr>
        <w:t xml:space="preserve">IPR holders </w:t>
      </w:r>
      <w:r w:rsidR="00E05A03">
        <w:rPr>
          <w:rFonts w:eastAsia="SimSun" w:cs="Times New Roman" w:hint="eastAsia"/>
          <w:lang w:val="en-GB"/>
        </w:rPr>
        <w:t xml:space="preserve">to give access to the </w:t>
      </w:r>
      <w:r w:rsidR="00606FCB">
        <w:rPr>
          <w:rFonts w:eastAsia="SimSun" w:cs="Times New Roman" w:hint="eastAsia"/>
          <w:lang w:val="en-GB"/>
        </w:rPr>
        <w:t xml:space="preserve">IPRs </w:t>
      </w:r>
      <w:r w:rsidR="00E05A03">
        <w:rPr>
          <w:rFonts w:eastAsia="SimSun" w:cs="Times New Roman"/>
          <w:lang w:val="en-GB"/>
        </w:rPr>
        <w:t>through</w:t>
      </w:r>
      <w:r w:rsidR="00E05A03">
        <w:rPr>
          <w:rFonts w:eastAsia="SimSun" w:cs="Times New Roman" w:hint="eastAsia"/>
          <w:lang w:val="en-GB"/>
        </w:rPr>
        <w:t xml:space="preserve"> compulsory licensing in case that the </w:t>
      </w:r>
      <w:r w:rsidR="00606FCB">
        <w:rPr>
          <w:rFonts w:eastAsia="SimSun" w:cs="Times New Roman" w:hint="eastAsia"/>
          <w:lang w:val="en-GB"/>
        </w:rPr>
        <w:t xml:space="preserve">IPRs </w:t>
      </w:r>
      <w:r w:rsidR="00E05A03">
        <w:rPr>
          <w:rFonts w:eastAsia="SimSun" w:cs="Times New Roman" w:hint="eastAsia"/>
          <w:lang w:val="en-GB"/>
        </w:rPr>
        <w:t xml:space="preserve">arouse competition concerns. </w:t>
      </w:r>
      <w:r w:rsidR="00A46B47">
        <w:rPr>
          <w:rFonts w:eastAsia="SimSun" w:cs="Times New Roman" w:hint="eastAsia"/>
          <w:lang w:val="en-GB"/>
        </w:rPr>
        <w:t xml:space="preserve">The Commission adopted compulsory licensing as remedy in both antitrust and merger cases, but the </w:t>
      </w:r>
      <w:r w:rsidR="00A46B47">
        <w:rPr>
          <w:rFonts w:eastAsia="SimSun" w:cs="Times New Roman"/>
          <w:lang w:val="en-GB"/>
        </w:rPr>
        <w:t>accepting</w:t>
      </w:r>
      <w:r w:rsidR="00A46B47">
        <w:rPr>
          <w:rFonts w:eastAsia="SimSun" w:cs="Times New Roman" w:hint="eastAsia"/>
          <w:lang w:val="en-GB"/>
        </w:rPr>
        <w:t xml:space="preserve"> criteria and design of compulsory licenses were varied. </w:t>
      </w:r>
      <w:r w:rsidR="009C7065">
        <w:rPr>
          <w:rFonts w:eastAsia="SimSun" w:cs="Times New Roman" w:hint="eastAsia"/>
          <w:lang w:val="en-GB"/>
        </w:rPr>
        <w:t xml:space="preserve">In merger cases, compulsory licensing is often adopted as </w:t>
      </w:r>
      <w:r w:rsidR="00B82A3A">
        <w:rPr>
          <w:rFonts w:eastAsia="SimSun" w:cs="Times New Roman"/>
          <w:lang w:val="en-GB"/>
        </w:rPr>
        <w:t>a</w:t>
      </w:r>
      <w:r w:rsidR="009C7065">
        <w:rPr>
          <w:rFonts w:eastAsia="SimSun" w:cs="Times New Roman" w:hint="eastAsia"/>
          <w:lang w:val="en-GB"/>
        </w:rPr>
        <w:t xml:space="preserve"> </w:t>
      </w:r>
      <w:r w:rsidR="009C7065">
        <w:rPr>
          <w:rFonts w:eastAsia="SimSun" w:cs="Times New Roman"/>
          <w:lang w:val="en-GB"/>
        </w:rPr>
        <w:t>supplementary</w:t>
      </w:r>
      <w:r w:rsidR="009C7065">
        <w:rPr>
          <w:rFonts w:eastAsia="SimSun" w:cs="Times New Roman" w:hint="eastAsia"/>
          <w:lang w:val="en-GB"/>
        </w:rPr>
        <w:t xml:space="preserve"> or alternative to divestitures</w:t>
      </w:r>
      <w:r w:rsidR="00B82A3A">
        <w:rPr>
          <w:rFonts w:eastAsia="SimSun" w:cs="Times New Roman" w:hint="eastAsia"/>
          <w:lang w:val="en-GB"/>
        </w:rPr>
        <w:t xml:space="preserve"> with </w:t>
      </w:r>
      <w:r w:rsidR="00B82A3A">
        <w:rPr>
          <w:rFonts w:eastAsia="SimSun" w:cs="Times New Roman"/>
          <w:lang w:val="en-GB"/>
        </w:rPr>
        <w:t>stringent</w:t>
      </w:r>
      <w:r w:rsidR="00B82A3A">
        <w:rPr>
          <w:rFonts w:eastAsia="SimSun" w:cs="Times New Roman" w:hint="eastAsia"/>
          <w:lang w:val="en-GB"/>
        </w:rPr>
        <w:t xml:space="preserve"> terms</w:t>
      </w:r>
      <w:r w:rsidR="009C7065">
        <w:rPr>
          <w:rFonts w:eastAsia="SimSun" w:cs="Times New Roman" w:hint="eastAsia"/>
          <w:lang w:val="en-GB"/>
        </w:rPr>
        <w:t xml:space="preserve">, while in antitrust cases, </w:t>
      </w:r>
      <w:r w:rsidR="00B82A3A">
        <w:rPr>
          <w:rFonts w:eastAsia="SimSun" w:cs="Times New Roman" w:hint="eastAsia"/>
          <w:lang w:val="en-GB"/>
        </w:rPr>
        <w:t xml:space="preserve">it is </w:t>
      </w:r>
      <w:r w:rsidR="00B82A3A">
        <w:rPr>
          <w:rFonts w:eastAsia="SimSun" w:cs="Times New Roman" w:hint="eastAsia"/>
          <w:lang w:val="en-GB"/>
        </w:rPr>
        <w:lastRenderedPageBreak/>
        <w:t xml:space="preserve">argued that </w:t>
      </w:r>
      <w:r w:rsidR="009C7065">
        <w:rPr>
          <w:rFonts w:eastAsia="SimSun" w:cs="Times New Roman" w:hint="eastAsia"/>
          <w:lang w:val="en-GB"/>
        </w:rPr>
        <w:t>co</w:t>
      </w:r>
      <w:r w:rsidR="00B82A3A">
        <w:rPr>
          <w:rFonts w:eastAsia="SimSun" w:cs="Times New Roman" w:hint="eastAsia"/>
          <w:lang w:val="en-GB"/>
        </w:rPr>
        <w:t>mpulsory licensing should not form a hurdle to the incentive to innovation</w:t>
      </w:r>
      <w:r w:rsidR="004B20BB">
        <w:rPr>
          <w:rFonts w:eastAsia="SimSun" w:cs="Times New Roman" w:hint="eastAsia"/>
          <w:lang w:val="en-GB"/>
        </w:rPr>
        <w:t xml:space="preserve"> of</w:t>
      </w:r>
      <w:r w:rsidR="004B20BB" w:rsidRPr="004B20BB">
        <w:rPr>
          <w:rFonts w:eastAsia="SimSun" w:cs="Times New Roman" w:hint="eastAsia"/>
          <w:lang w:val="en-GB"/>
        </w:rPr>
        <w:t xml:space="preserve"> </w:t>
      </w:r>
      <w:r w:rsidR="004B20BB">
        <w:rPr>
          <w:rFonts w:eastAsia="SimSun" w:cs="Times New Roman" w:hint="eastAsia"/>
          <w:lang w:val="en-GB"/>
        </w:rPr>
        <w:t>IP holders</w:t>
      </w:r>
      <w:r w:rsidR="00B82A3A">
        <w:rPr>
          <w:rFonts w:eastAsia="SimSun" w:cs="Times New Roman" w:hint="eastAsia"/>
          <w:lang w:val="en-GB"/>
        </w:rPr>
        <w:t xml:space="preserve">. </w:t>
      </w:r>
    </w:p>
    <w:p w:rsidR="00086146" w:rsidRPr="00844C55" w:rsidRDefault="00C82C30" w:rsidP="00086146">
      <w:pPr>
        <w:rPr>
          <w:rFonts w:eastAsia="SimSun"/>
          <w:lang w:val="en-GB" w:bidi="ar-SA"/>
        </w:rPr>
      </w:pPr>
      <w:r>
        <w:rPr>
          <w:rFonts w:eastAsia="SimSun" w:hint="eastAsia"/>
          <w:lang w:val="en-GB"/>
        </w:rPr>
        <w:t xml:space="preserve">Recently, the application of compulsory licensing to high-tech markets attracts more </w:t>
      </w:r>
      <w:r>
        <w:rPr>
          <w:rFonts w:eastAsia="SimSun"/>
          <w:lang w:val="en-GB"/>
        </w:rPr>
        <w:t>criti</w:t>
      </w:r>
      <w:r>
        <w:rPr>
          <w:rFonts w:eastAsia="SimSun" w:hint="eastAsia"/>
          <w:lang w:val="en-GB"/>
        </w:rPr>
        <w:t xml:space="preserve">cism and studies towards compulsory </w:t>
      </w:r>
      <w:r>
        <w:rPr>
          <w:rFonts w:eastAsia="SimSun"/>
          <w:lang w:val="en-GB"/>
        </w:rPr>
        <w:t>licensing</w:t>
      </w:r>
      <w:r w:rsidR="004B20BB">
        <w:rPr>
          <w:rFonts w:eastAsia="SimSun" w:hint="eastAsia"/>
          <w:lang w:val="en-GB"/>
        </w:rPr>
        <w:t xml:space="preserve">. </w:t>
      </w:r>
      <w:r w:rsidR="004B20BB">
        <w:rPr>
          <w:rFonts w:eastAsia="SimSun"/>
          <w:lang w:val="en-GB"/>
        </w:rPr>
        <w:t>It</w:t>
      </w:r>
      <w:r w:rsidR="004B20BB">
        <w:rPr>
          <w:rFonts w:eastAsia="SimSun" w:hint="eastAsia"/>
          <w:lang w:val="en-GB"/>
        </w:rPr>
        <w:t xml:space="preserve"> is worth rethinking about compulsory licensing </w:t>
      </w:r>
      <w:r w:rsidR="004B20BB">
        <w:rPr>
          <w:rFonts w:eastAsia="SimSun"/>
          <w:lang w:val="en-GB" w:bidi="ar-SA"/>
        </w:rPr>
        <w:t>as a</w:t>
      </w:r>
      <w:r w:rsidR="004B20BB" w:rsidRPr="00844C55">
        <w:rPr>
          <w:rFonts w:eastAsia="SimSun"/>
          <w:lang w:val="en-GB" w:bidi="ar-SA"/>
        </w:rPr>
        <w:t xml:space="preserve"> </w:t>
      </w:r>
      <w:r w:rsidR="004B20BB">
        <w:rPr>
          <w:rFonts w:eastAsia="SimSun" w:hint="eastAsia"/>
          <w:lang w:val="en-GB" w:bidi="ar-SA"/>
        </w:rPr>
        <w:t xml:space="preserve">competition </w:t>
      </w:r>
      <w:r w:rsidR="004B20BB" w:rsidRPr="00844C55">
        <w:rPr>
          <w:rFonts w:eastAsia="SimSun"/>
          <w:lang w:val="en-GB" w:bidi="ar-SA"/>
        </w:rPr>
        <w:t>reme</w:t>
      </w:r>
      <w:r w:rsidR="004B20BB">
        <w:rPr>
          <w:rFonts w:eastAsia="SimSun"/>
          <w:lang w:val="en-GB" w:bidi="ar-SA"/>
        </w:rPr>
        <w:t xml:space="preserve">dy </w:t>
      </w:r>
      <w:r w:rsidR="004B20BB">
        <w:rPr>
          <w:rFonts w:eastAsia="SimSun" w:hint="eastAsia"/>
          <w:lang w:val="en-GB"/>
        </w:rPr>
        <w:t>in the context of high-tech</w:t>
      </w:r>
      <w:r w:rsidR="004B20BB" w:rsidRPr="00844C55">
        <w:rPr>
          <w:rFonts w:eastAsia="SimSun"/>
          <w:lang w:val="en-GB"/>
        </w:rPr>
        <w:t>.</w:t>
      </w:r>
      <w:r w:rsidR="004B20BB">
        <w:rPr>
          <w:rFonts w:eastAsia="SimSun" w:hint="eastAsia"/>
          <w:lang w:val="en-GB"/>
        </w:rPr>
        <w:t xml:space="preserve"> </w:t>
      </w:r>
      <w:r w:rsidR="00086146" w:rsidRPr="00844C55">
        <w:rPr>
          <w:rFonts w:eastAsia="SimSun"/>
          <w:lang w:val="en-GB" w:bidi="ar-SA"/>
        </w:rPr>
        <w:t>T</w:t>
      </w:r>
      <w:r w:rsidR="00086146" w:rsidRPr="00844C55">
        <w:rPr>
          <w:lang w:val="en-GB" w:bidi="ar-SA"/>
        </w:rPr>
        <w:t xml:space="preserve">he focus </w:t>
      </w:r>
      <w:r w:rsidR="00086146" w:rsidRPr="00844C55">
        <w:rPr>
          <w:rFonts w:eastAsia="SimSun"/>
          <w:lang w:val="en-GB" w:bidi="ar-SA"/>
        </w:rPr>
        <w:t>of this article</w:t>
      </w:r>
      <w:r w:rsidR="00086146" w:rsidRPr="00844C55">
        <w:rPr>
          <w:lang w:val="en-GB" w:bidi="ar-SA"/>
        </w:rPr>
        <w:t xml:space="preserve"> is on </w:t>
      </w:r>
      <w:r w:rsidR="00086146" w:rsidRPr="00844C55">
        <w:rPr>
          <w:rFonts w:eastAsia="SimSun"/>
          <w:lang w:val="en-GB" w:bidi="ar-SA"/>
        </w:rPr>
        <w:t>c</w:t>
      </w:r>
      <w:r w:rsidR="00496C72">
        <w:rPr>
          <w:rFonts w:eastAsia="SimSun"/>
          <w:lang w:val="en-GB" w:bidi="ar-SA"/>
        </w:rPr>
        <w:t>ompulsory licensing</w:t>
      </w:r>
      <w:r w:rsidR="004B20BB" w:rsidRPr="004B20BB">
        <w:rPr>
          <w:rFonts w:eastAsia="SimSun"/>
          <w:lang w:val="en-GB" w:bidi="ar-SA"/>
        </w:rPr>
        <w:t xml:space="preserve"> </w:t>
      </w:r>
      <w:r w:rsidR="004B20BB">
        <w:rPr>
          <w:rFonts w:eastAsia="SimSun"/>
          <w:lang w:val="en-GB" w:bidi="ar-SA"/>
        </w:rPr>
        <w:t>under Article 102</w:t>
      </w:r>
      <w:r w:rsidR="004B20BB">
        <w:rPr>
          <w:rFonts w:eastAsia="SimSun" w:hint="eastAsia"/>
          <w:lang w:val="en-GB" w:bidi="ar-SA"/>
        </w:rPr>
        <w:t xml:space="preserve"> TFEU</w:t>
      </w:r>
      <w:r w:rsidR="004B20BB">
        <w:rPr>
          <w:rStyle w:val="FootnoteReference"/>
          <w:rFonts w:eastAsia="SimSun"/>
          <w:lang w:val="en-GB" w:bidi="ar-SA"/>
        </w:rPr>
        <w:footnoteReference w:id="3"/>
      </w:r>
      <w:r w:rsidR="004B20BB">
        <w:rPr>
          <w:rFonts w:eastAsia="SimSun" w:hint="eastAsia"/>
          <w:lang w:val="en-GB" w:bidi="ar-SA"/>
        </w:rPr>
        <w:t xml:space="preserve"> </w:t>
      </w:r>
      <w:r w:rsidR="004B20BB">
        <w:rPr>
          <w:rFonts w:eastAsia="SimSun"/>
          <w:lang w:val="en-GB" w:bidi="ar-SA"/>
        </w:rPr>
        <w:t>and merger</w:t>
      </w:r>
      <w:r w:rsidR="004B20BB">
        <w:rPr>
          <w:rFonts w:eastAsia="SimSun" w:hint="eastAsia"/>
          <w:lang w:val="en-GB" w:bidi="ar-SA"/>
        </w:rPr>
        <w:t xml:space="preserve"> </w:t>
      </w:r>
      <w:r w:rsidR="004B20BB" w:rsidRPr="00844C55">
        <w:rPr>
          <w:rFonts w:eastAsia="SimSun"/>
          <w:lang w:val="en-GB" w:bidi="ar-SA"/>
        </w:rPr>
        <w:t>control</w:t>
      </w:r>
      <w:r w:rsidR="004B20BB">
        <w:rPr>
          <w:rFonts w:eastAsia="SimSun" w:hint="eastAsia"/>
          <w:lang w:val="en-GB" w:bidi="ar-SA"/>
        </w:rPr>
        <w:t xml:space="preserve"> in EU</w:t>
      </w:r>
      <w:r w:rsidR="00086146" w:rsidRPr="00844C55">
        <w:rPr>
          <w:rFonts w:eastAsia="SimSun"/>
          <w:lang w:val="en-GB" w:bidi="ar-SA"/>
        </w:rPr>
        <w:t xml:space="preserve">. </w:t>
      </w:r>
      <w:r w:rsidR="00086146" w:rsidRPr="00844C55">
        <w:rPr>
          <w:rFonts w:eastAsia="SimSun"/>
          <w:lang w:val="en-GB"/>
        </w:rPr>
        <w:t xml:space="preserve">The </w:t>
      </w:r>
      <w:r w:rsidR="00A46B47">
        <w:rPr>
          <w:rFonts w:eastAsia="SimSun" w:hint="eastAsia"/>
          <w:lang w:val="en-GB"/>
        </w:rPr>
        <w:t xml:space="preserve">research </w:t>
      </w:r>
      <w:r w:rsidR="00086146" w:rsidRPr="00844C55">
        <w:rPr>
          <w:rFonts w:eastAsia="SimSun"/>
          <w:lang w:val="en-GB"/>
        </w:rPr>
        <w:t xml:space="preserve">questions </w:t>
      </w:r>
      <w:r w:rsidR="00A46B47">
        <w:rPr>
          <w:rFonts w:eastAsia="SimSun" w:hint="eastAsia"/>
          <w:lang w:val="en-GB"/>
        </w:rPr>
        <w:t>are</w:t>
      </w:r>
      <w:r w:rsidR="00086146" w:rsidRPr="00844C55">
        <w:rPr>
          <w:rFonts w:eastAsia="SimSun"/>
          <w:lang w:val="en-GB"/>
        </w:rPr>
        <w:t xml:space="preserve">: (1) what is the EU practise of compulsory licensing in </w:t>
      </w:r>
      <w:r w:rsidR="00086146">
        <w:rPr>
          <w:rFonts w:eastAsia="SimSun"/>
          <w:lang w:val="en-GB"/>
        </w:rPr>
        <w:t>antitrust</w:t>
      </w:r>
      <w:r w:rsidR="00086146" w:rsidRPr="00844C55">
        <w:rPr>
          <w:rFonts w:eastAsia="SimSun"/>
          <w:lang w:val="en-GB"/>
        </w:rPr>
        <w:t xml:space="preserve"> and merger cases? (2) </w:t>
      </w:r>
      <w:proofErr w:type="gramStart"/>
      <w:r w:rsidR="00086146">
        <w:rPr>
          <w:rFonts w:eastAsia="SimSun"/>
          <w:lang w:val="en-GB"/>
        </w:rPr>
        <w:t>what</w:t>
      </w:r>
      <w:proofErr w:type="gramEnd"/>
      <w:r w:rsidR="00086146">
        <w:rPr>
          <w:rFonts w:eastAsia="SimSun"/>
          <w:lang w:val="en-GB"/>
        </w:rPr>
        <w:t xml:space="preserve"> </w:t>
      </w:r>
      <w:r w:rsidR="002101B1">
        <w:rPr>
          <w:rFonts w:eastAsia="SimSun" w:hint="eastAsia"/>
          <w:lang w:val="en-GB"/>
        </w:rPr>
        <w:t xml:space="preserve">is </w:t>
      </w:r>
      <w:r w:rsidR="00086146">
        <w:rPr>
          <w:rFonts w:eastAsia="SimSun"/>
          <w:lang w:val="en-GB"/>
        </w:rPr>
        <w:t xml:space="preserve">the difference between competition licensing adopted </w:t>
      </w:r>
      <w:r w:rsidR="00086146" w:rsidRPr="00844C55">
        <w:rPr>
          <w:rFonts w:eastAsia="SimSun"/>
          <w:lang w:val="en-GB"/>
        </w:rPr>
        <w:t xml:space="preserve">in </w:t>
      </w:r>
      <w:r w:rsidR="00086146">
        <w:rPr>
          <w:rFonts w:eastAsia="SimSun"/>
          <w:lang w:val="en-GB"/>
        </w:rPr>
        <w:t>antitrust</w:t>
      </w:r>
      <w:r w:rsidR="00086146" w:rsidRPr="00844C55">
        <w:rPr>
          <w:rFonts w:eastAsia="SimSun"/>
          <w:lang w:val="en-GB"/>
        </w:rPr>
        <w:t xml:space="preserve"> and merger cases</w:t>
      </w:r>
      <w:r w:rsidR="00086146">
        <w:rPr>
          <w:rFonts w:eastAsia="SimSun"/>
          <w:lang w:val="en-GB"/>
        </w:rPr>
        <w:t xml:space="preserve">? </w:t>
      </w:r>
      <w:r w:rsidR="00086146" w:rsidRPr="00844C55">
        <w:rPr>
          <w:rFonts w:eastAsia="SimSun"/>
          <w:lang w:val="en-GB"/>
        </w:rPr>
        <w:t>(3)</w:t>
      </w:r>
      <w:r w:rsidR="00046E05">
        <w:rPr>
          <w:rFonts w:eastAsia="SimSun" w:hint="eastAsia"/>
          <w:lang w:val="en-GB"/>
        </w:rPr>
        <w:t xml:space="preserve"> </w:t>
      </w:r>
      <w:proofErr w:type="gramStart"/>
      <w:r w:rsidR="00046E05">
        <w:rPr>
          <w:rFonts w:eastAsia="SimSun" w:hint="eastAsia"/>
          <w:lang w:val="en-GB"/>
        </w:rPr>
        <w:t>what</w:t>
      </w:r>
      <w:proofErr w:type="gramEnd"/>
      <w:r w:rsidR="00046E05">
        <w:rPr>
          <w:rFonts w:eastAsia="SimSun" w:hint="eastAsia"/>
          <w:lang w:val="en-GB"/>
        </w:rPr>
        <w:t xml:space="preserve"> mechanism could be designed to meet the needs of high-tech</w:t>
      </w:r>
      <w:r>
        <w:rPr>
          <w:rFonts w:eastAsia="SimSun" w:hint="eastAsia"/>
          <w:lang w:val="en-GB"/>
        </w:rPr>
        <w:t xml:space="preserve"> markets</w:t>
      </w:r>
      <w:r w:rsidR="00086146" w:rsidRPr="00844C55">
        <w:rPr>
          <w:rFonts w:eastAsia="SimSun"/>
          <w:lang w:val="en-GB"/>
        </w:rPr>
        <w:t xml:space="preserve">?  </w:t>
      </w:r>
    </w:p>
    <w:p w:rsidR="003A6E7E" w:rsidRPr="00844C55" w:rsidRDefault="00EC135D" w:rsidP="00B4786C">
      <w:pPr>
        <w:pStyle w:val="Heading1"/>
        <w:rPr>
          <w:rFonts w:eastAsia="SimSun"/>
          <w:lang w:val="en-GB"/>
        </w:rPr>
      </w:pPr>
      <w:r w:rsidRPr="00844C55">
        <w:rPr>
          <w:rFonts w:eastAsia="SimSun"/>
          <w:lang w:val="en-GB"/>
        </w:rPr>
        <w:t>Competition Law</w:t>
      </w:r>
      <w:r w:rsidR="001F77DE" w:rsidRPr="00844C55">
        <w:rPr>
          <w:rFonts w:eastAsia="SimSun"/>
          <w:lang w:val="en-GB"/>
        </w:rPr>
        <w:t xml:space="preserve"> and Compulsory Licensing</w:t>
      </w:r>
    </w:p>
    <w:p w:rsidR="00EC135D" w:rsidRPr="00844C55" w:rsidRDefault="00432A5E" w:rsidP="00EC135D">
      <w:pPr>
        <w:pStyle w:val="Heading2"/>
        <w:rPr>
          <w:rFonts w:eastAsia="SimSun"/>
          <w:lang w:val="en-GB"/>
        </w:rPr>
      </w:pPr>
      <w:r w:rsidRPr="00844C55">
        <w:rPr>
          <w:rFonts w:eastAsia="SimSun"/>
          <w:lang w:val="en-GB"/>
        </w:rPr>
        <w:t>Inter</w:t>
      </w:r>
      <w:r w:rsidR="00C115FF" w:rsidRPr="00844C55">
        <w:rPr>
          <w:rFonts w:eastAsia="SimSun"/>
          <w:lang w:val="en-GB"/>
        </w:rPr>
        <w:t>face</w:t>
      </w:r>
      <w:r w:rsidR="00EC135D" w:rsidRPr="00844C55">
        <w:rPr>
          <w:rFonts w:eastAsia="SimSun"/>
          <w:lang w:val="en-GB"/>
        </w:rPr>
        <w:t xml:space="preserve"> of </w:t>
      </w:r>
      <w:r w:rsidR="00606FCB">
        <w:rPr>
          <w:rFonts w:eastAsia="SimSun"/>
          <w:lang w:val="en-GB"/>
        </w:rPr>
        <w:t xml:space="preserve">IPRs </w:t>
      </w:r>
      <w:r w:rsidR="00EC135D" w:rsidRPr="00844C55">
        <w:rPr>
          <w:rFonts w:eastAsia="SimSun"/>
          <w:lang w:val="en-GB"/>
        </w:rPr>
        <w:t>and Competition Law</w:t>
      </w:r>
    </w:p>
    <w:p w:rsidR="00B71E6E" w:rsidRPr="00844C55" w:rsidRDefault="0031736F" w:rsidP="00B71E6E">
      <w:pPr>
        <w:rPr>
          <w:rFonts w:eastAsia="SimSun"/>
          <w:lang w:val="en-GB"/>
        </w:rPr>
      </w:pPr>
      <w:r w:rsidRPr="00844C55">
        <w:rPr>
          <w:lang w:val="en-GB"/>
        </w:rPr>
        <w:t xml:space="preserve">IP law and </w:t>
      </w:r>
      <w:r w:rsidR="00C45300" w:rsidRPr="00844C55">
        <w:rPr>
          <w:rFonts w:eastAsia="SimSun"/>
          <w:lang w:val="en-GB"/>
        </w:rPr>
        <w:t>competition</w:t>
      </w:r>
      <w:r w:rsidRPr="00844C55">
        <w:rPr>
          <w:lang w:val="en-GB"/>
        </w:rPr>
        <w:t xml:space="preserve"> law are both designed to correct market failures. </w:t>
      </w:r>
      <w:r w:rsidR="004F079B" w:rsidRPr="00844C55">
        <w:rPr>
          <w:lang w:val="en-GB"/>
        </w:rPr>
        <w:t>It has become widely recognised</w:t>
      </w:r>
      <w:r w:rsidR="004F079B" w:rsidRPr="00844C55">
        <w:rPr>
          <w:rFonts w:eastAsia="SimSun"/>
          <w:lang w:val="en-GB"/>
        </w:rPr>
        <w:t xml:space="preserve"> that </w:t>
      </w:r>
      <w:r w:rsidR="0096410D" w:rsidRPr="00844C55">
        <w:rPr>
          <w:lang w:val="en-GB"/>
        </w:rPr>
        <w:t>“</w:t>
      </w:r>
      <w:r w:rsidR="0096410D" w:rsidRPr="00844C55">
        <w:rPr>
          <w:iCs/>
          <w:lang w:val="en-GB"/>
        </w:rPr>
        <w:t>IP law and competition law have a complementary role to play in promoting innovation to the benefit of consumers</w:t>
      </w:r>
      <w:r w:rsidR="0096410D" w:rsidRPr="00844C55">
        <w:rPr>
          <w:lang w:val="en-GB"/>
        </w:rPr>
        <w:t>”</w:t>
      </w:r>
      <w:r w:rsidR="0096410D" w:rsidRPr="00844C55">
        <w:rPr>
          <w:rStyle w:val="FootnoteReference"/>
          <w:lang w:val="en-GB"/>
        </w:rPr>
        <w:footnoteReference w:id="4"/>
      </w:r>
    </w:p>
    <w:p w:rsidR="00042091" w:rsidRPr="00844C55" w:rsidRDefault="00D85D19" w:rsidP="00042091">
      <w:pPr>
        <w:rPr>
          <w:rFonts w:ascii="TimesNewRoman" w:eastAsia="SimSun" w:hAnsi="TimesNewRoman" w:cs="TimesNewRoman"/>
          <w:szCs w:val="24"/>
          <w:lang w:val="en-GB" w:bidi="ar-SA"/>
        </w:rPr>
      </w:pPr>
      <w:r w:rsidRPr="00844C55">
        <w:rPr>
          <w:rFonts w:eastAsia="SimSun"/>
          <w:lang w:val="en-GB"/>
        </w:rPr>
        <w:t>IP law promotes innovation</w:t>
      </w:r>
      <w:r w:rsidR="00DA375F" w:rsidRPr="00844C55">
        <w:rPr>
          <w:rFonts w:eastAsia="SimSun"/>
          <w:lang w:val="en-GB"/>
        </w:rPr>
        <w:t xml:space="preserve"> by protecting </w:t>
      </w:r>
      <w:r w:rsidR="008060A2" w:rsidRPr="00844C55">
        <w:rPr>
          <w:rFonts w:eastAsia="SimSun"/>
          <w:lang w:val="en-GB"/>
        </w:rPr>
        <w:t xml:space="preserve">new </w:t>
      </w:r>
      <w:r w:rsidR="00DA375F" w:rsidRPr="00844C55">
        <w:rPr>
          <w:rFonts w:eastAsia="SimSun"/>
          <w:lang w:val="en-GB"/>
        </w:rPr>
        <w:t>knowledge and information</w:t>
      </w:r>
      <w:r w:rsidR="00D12CFB" w:rsidRPr="00844C55">
        <w:rPr>
          <w:rFonts w:eastAsia="SimSun"/>
          <w:lang w:val="en-GB"/>
        </w:rPr>
        <w:t xml:space="preserve"> which are the outcome of creative and intellectual efforts</w:t>
      </w:r>
      <w:r w:rsidRPr="00844C55">
        <w:rPr>
          <w:rFonts w:eastAsia="SimSun"/>
          <w:lang w:val="en-GB"/>
        </w:rPr>
        <w:t xml:space="preserve">. </w:t>
      </w:r>
      <w:r w:rsidR="00D12CFB" w:rsidRPr="00844C55">
        <w:rPr>
          <w:rFonts w:eastAsia="SimSun"/>
          <w:lang w:val="en-GB"/>
        </w:rPr>
        <w:t xml:space="preserve">Knowledge and </w:t>
      </w:r>
      <w:r w:rsidR="00DA375F" w:rsidRPr="00844C55">
        <w:rPr>
          <w:rFonts w:eastAsia="SimSun"/>
          <w:lang w:val="en-GB"/>
        </w:rPr>
        <w:t xml:space="preserve">information, </w:t>
      </w:r>
      <w:r w:rsidR="00D12CFB" w:rsidRPr="00844C55">
        <w:rPr>
          <w:rFonts w:eastAsia="SimSun"/>
          <w:lang w:val="en-GB"/>
        </w:rPr>
        <w:t>as</w:t>
      </w:r>
      <w:r w:rsidR="00DA375F" w:rsidRPr="00844C55">
        <w:rPr>
          <w:rFonts w:eastAsia="SimSun"/>
          <w:lang w:val="en-GB"/>
        </w:rPr>
        <w:t xml:space="preserve"> a public good,</w:t>
      </w:r>
      <w:r w:rsidR="0085087F" w:rsidRPr="00844C55">
        <w:rPr>
          <w:rStyle w:val="FootnoteReference"/>
          <w:rFonts w:eastAsia="SimSun"/>
          <w:lang w:val="en-GB"/>
        </w:rPr>
        <w:footnoteReference w:id="5"/>
      </w:r>
      <w:r w:rsidR="00DA375F" w:rsidRPr="00844C55">
        <w:rPr>
          <w:rFonts w:eastAsia="SimSun"/>
          <w:lang w:val="en-GB"/>
        </w:rPr>
        <w:t xml:space="preserve"> can easily be appropriated by </w:t>
      </w:r>
      <w:r w:rsidR="00D12CFB" w:rsidRPr="00844C55">
        <w:rPr>
          <w:rFonts w:eastAsia="SimSun"/>
          <w:lang w:val="en-GB"/>
        </w:rPr>
        <w:t>others</w:t>
      </w:r>
      <w:r w:rsidR="00DA375F" w:rsidRPr="00844C55">
        <w:rPr>
          <w:rFonts w:eastAsia="SimSun"/>
          <w:lang w:val="en-GB"/>
        </w:rPr>
        <w:t xml:space="preserve"> who did not bear the </w:t>
      </w:r>
      <w:r w:rsidR="00FC5729" w:rsidRPr="00844C55">
        <w:rPr>
          <w:rFonts w:eastAsia="SimSun"/>
          <w:lang w:val="en-GB"/>
        </w:rPr>
        <w:t xml:space="preserve">developing </w:t>
      </w:r>
      <w:r w:rsidR="00DA375F" w:rsidRPr="00844C55">
        <w:rPr>
          <w:rFonts w:eastAsia="SimSun"/>
          <w:lang w:val="en-GB"/>
        </w:rPr>
        <w:t>cost</w:t>
      </w:r>
      <w:r w:rsidR="00D12CFB" w:rsidRPr="00844C55">
        <w:rPr>
          <w:rFonts w:eastAsia="SimSun"/>
          <w:lang w:val="en-GB"/>
        </w:rPr>
        <w:t>s</w:t>
      </w:r>
      <w:r w:rsidR="00DA375F" w:rsidRPr="00844C55">
        <w:rPr>
          <w:rFonts w:eastAsia="SimSun"/>
          <w:lang w:val="en-GB"/>
        </w:rPr>
        <w:t xml:space="preserve">. </w:t>
      </w:r>
      <w:r w:rsidR="00D12CFB" w:rsidRPr="00844C55">
        <w:rPr>
          <w:lang w:val="en-GB"/>
        </w:rPr>
        <w:t xml:space="preserve">In order to provide incentives for intellectual creation, IP law grants exclusive rights of exploiting </w:t>
      </w:r>
      <w:r w:rsidR="00606FCB">
        <w:rPr>
          <w:lang w:val="en-GB"/>
        </w:rPr>
        <w:t xml:space="preserve">IPRs </w:t>
      </w:r>
      <w:r w:rsidR="00D12CFB" w:rsidRPr="00844C55">
        <w:rPr>
          <w:lang w:val="en-GB"/>
        </w:rPr>
        <w:t>to their holders which enable them to exclude others from making, usi</w:t>
      </w:r>
      <w:r w:rsidR="00A57BDD">
        <w:rPr>
          <w:lang w:val="en-GB"/>
        </w:rPr>
        <w:t>ng, selling, and importing the</w:t>
      </w:r>
      <w:r w:rsidR="00D12CFB" w:rsidRPr="00844C55">
        <w:rPr>
          <w:lang w:val="en-GB"/>
        </w:rPr>
        <w:t xml:space="preserve"> protected IP rights.</w:t>
      </w:r>
      <w:r w:rsidR="00D12CFB" w:rsidRPr="00844C55">
        <w:rPr>
          <w:rFonts w:eastAsia="SimSun"/>
          <w:lang w:val="en-GB"/>
        </w:rPr>
        <w:t xml:space="preserve"> </w:t>
      </w:r>
      <w:r w:rsidR="00FC5729" w:rsidRPr="00844C55">
        <w:rPr>
          <w:rFonts w:eastAsia="SimSun"/>
          <w:lang w:val="en-GB"/>
        </w:rPr>
        <w:t>The</w:t>
      </w:r>
      <w:r w:rsidR="00B50996" w:rsidRPr="00844C55">
        <w:rPr>
          <w:rFonts w:eastAsia="SimSun"/>
          <w:lang w:val="en-GB"/>
        </w:rPr>
        <w:t xml:space="preserve"> exclusive rights</w:t>
      </w:r>
      <w:r w:rsidR="00DA375F" w:rsidRPr="00844C55">
        <w:rPr>
          <w:rFonts w:eastAsia="SimSun"/>
          <w:lang w:val="en-GB"/>
        </w:rPr>
        <w:t xml:space="preserve"> allow the </w:t>
      </w:r>
      <w:r w:rsidR="00D8492E">
        <w:rPr>
          <w:rFonts w:eastAsia="SimSun"/>
          <w:lang w:val="en-GB"/>
        </w:rPr>
        <w:t xml:space="preserve">IPR holders </w:t>
      </w:r>
      <w:r w:rsidR="00DA375F" w:rsidRPr="00844C55">
        <w:rPr>
          <w:rFonts w:eastAsia="SimSun"/>
          <w:lang w:val="en-GB"/>
        </w:rPr>
        <w:t xml:space="preserve">to make a return on </w:t>
      </w:r>
      <w:r w:rsidR="00B50996" w:rsidRPr="00844C55">
        <w:rPr>
          <w:rFonts w:eastAsia="SimSun"/>
          <w:lang w:val="en-GB"/>
        </w:rPr>
        <w:t>their</w:t>
      </w:r>
      <w:r w:rsidR="00DA375F" w:rsidRPr="00844C55">
        <w:rPr>
          <w:rFonts w:eastAsia="SimSun"/>
          <w:lang w:val="en-GB"/>
        </w:rPr>
        <w:t xml:space="preserve"> investment by preventing free riding </w:t>
      </w:r>
      <w:r w:rsidR="00B50996" w:rsidRPr="00844C55">
        <w:rPr>
          <w:rFonts w:eastAsia="SimSun"/>
          <w:lang w:val="en-GB"/>
        </w:rPr>
        <w:t>of</w:t>
      </w:r>
      <w:r w:rsidR="00DA375F" w:rsidRPr="00844C55">
        <w:rPr>
          <w:rFonts w:eastAsia="SimSun"/>
          <w:lang w:val="en-GB"/>
        </w:rPr>
        <w:t xml:space="preserve"> his competitors</w:t>
      </w:r>
      <w:r w:rsidR="00FC5729" w:rsidRPr="00844C55">
        <w:rPr>
          <w:rFonts w:eastAsia="SimSun"/>
          <w:lang w:val="en-GB"/>
        </w:rPr>
        <w:t xml:space="preserve">. </w:t>
      </w:r>
      <w:r w:rsidR="00606FCB">
        <w:rPr>
          <w:lang w:val="en-GB"/>
        </w:rPr>
        <w:t xml:space="preserve">IPRs </w:t>
      </w:r>
      <w:r w:rsidR="00FC5729" w:rsidRPr="00844C55">
        <w:rPr>
          <w:lang w:val="en-GB"/>
        </w:rPr>
        <w:t xml:space="preserve">are a kind of “trade off” between long-term and short-term gains. </w:t>
      </w:r>
      <w:r w:rsidR="00B50996" w:rsidRPr="00844C55">
        <w:rPr>
          <w:lang w:val="en-GB"/>
        </w:rPr>
        <w:t xml:space="preserve">Consumers pay higher prices for the products involving </w:t>
      </w:r>
      <w:r w:rsidR="00606FCB">
        <w:rPr>
          <w:lang w:val="en-GB"/>
        </w:rPr>
        <w:t xml:space="preserve">IPRs </w:t>
      </w:r>
      <w:r w:rsidR="00B50996" w:rsidRPr="00844C55">
        <w:rPr>
          <w:lang w:val="en-GB"/>
        </w:rPr>
        <w:t>in a short period, but from a long-term perspective, the consumers would be benefited from the innovations that motivated by IP law</w:t>
      </w:r>
      <w:r w:rsidR="00B50996" w:rsidRPr="00844C55">
        <w:rPr>
          <w:rFonts w:eastAsia="SimSun"/>
          <w:lang w:val="en-GB"/>
        </w:rPr>
        <w:t xml:space="preserve">. </w:t>
      </w:r>
    </w:p>
    <w:p w:rsidR="00F76FC6" w:rsidRDefault="00FC5729" w:rsidP="004530ED">
      <w:pPr>
        <w:rPr>
          <w:lang w:val="en-GB"/>
        </w:rPr>
      </w:pPr>
      <w:r w:rsidRPr="00844C55">
        <w:rPr>
          <w:lang w:val="en-GB"/>
        </w:rPr>
        <w:t>Competition law maintains effective competition</w:t>
      </w:r>
      <w:r w:rsidRPr="00844C55">
        <w:rPr>
          <w:rFonts w:eastAsia="SimSun"/>
          <w:lang w:val="en-GB"/>
        </w:rPr>
        <w:t xml:space="preserve"> by eliminating anti-competitive market activities</w:t>
      </w:r>
      <w:r w:rsidRPr="00844C55">
        <w:rPr>
          <w:lang w:val="en-GB"/>
        </w:rPr>
        <w:t xml:space="preserve">. </w:t>
      </w:r>
      <w:r w:rsidR="00ED3EB2" w:rsidRPr="00844C55">
        <w:rPr>
          <w:rFonts w:eastAsia="SimSun"/>
          <w:lang w:val="en-GB"/>
        </w:rPr>
        <w:t>Competition is the basis of a free market to achieve efficiency,</w:t>
      </w:r>
      <w:r w:rsidR="00ED3EB2" w:rsidRPr="00844C55">
        <w:rPr>
          <w:lang w:val="en-GB"/>
        </w:rPr>
        <w:t xml:space="preserve"> foster innovation and bring more choice to consumers</w:t>
      </w:r>
      <w:r w:rsidR="00ED3EB2" w:rsidRPr="00844C55">
        <w:rPr>
          <w:rFonts w:eastAsia="SimSun"/>
          <w:lang w:val="en-GB"/>
        </w:rPr>
        <w:t xml:space="preserve">. </w:t>
      </w:r>
      <w:r w:rsidR="00BC18BE" w:rsidRPr="00844C55">
        <w:rPr>
          <w:rFonts w:eastAsia="SimSun"/>
          <w:lang w:val="en-GB"/>
        </w:rPr>
        <w:t xml:space="preserve">But </w:t>
      </w:r>
      <w:r w:rsidR="00BC18BE" w:rsidRPr="00844C55">
        <w:rPr>
          <w:lang w:val="en-GB"/>
        </w:rPr>
        <w:t xml:space="preserve">market is not always trustful on inspiring or </w:t>
      </w:r>
      <w:r w:rsidR="00BC18BE" w:rsidRPr="00844C55">
        <w:rPr>
          <w:lang w:val="en-GB"/>
        </w:rPr>
        <w:lastRenderedPageBreak/>
        <w:t>preserving competition. When competition gets seriously jeopardized, customers will pay.</w:t>
      </w:r>
      <w:r w:rsidR="00A86F99" w:rsidRPr="00844C55">
        <w:rPr>
          <w:rFonts w:eastAsia="SimSun"/>
          <w:lang w:val="en-GB"/>
        </w:rPr>
        <w:t xml:space="preserve"> </w:t>
      </w:r>
      <w:r w:rsidR="00EA6DFA" w:rsidRPr="00844C55">
        <w:rPr>
          <w:lang w:val="en-GB"/>
        </w:rPr>
        <w:t xml:space="preserve">Competition law seeks to </w:t>
      </w:r>
      <w:r w:rsidR="00CF7DF0" w:rsidRPr="00844C55">
        <w:rPr>
          <w:rFonts w:eastAsia="SimSun"/>
          <w:lang w:val="en-GB"/>
        </w:rPr>
        <w:t>resume competition when market fails, by</w:t>
      </w:r>
      <w:r w:rsidR="00CF7DF0" w:rsidRPr="00844C55">
        <w:rPr>
          <w:lang w:val="en-GB"/>
        </w:rPr>
        <w:t xml:space="preserve"> interfer</w:t>
      </w:r>
      <w:r w:rsidR="00CF7DF0" w:rsidRPr="00844C55">
        <w:rPr>
          <w:rFonts w:eastAsia="SimSun"/>
          <w:lang w:val="en-GB"/>
        </w:rPr>
        <w:t>ing</w:t>
      </w:r>
      <w:r w:rsidR="00EA6DFA" w:rsidRPr="00844C55">
        <w:rPr>
          <w:lang w:val="en-GB"/>
        </w:rPr>
        <w:t xml:space="preserve"> with the conduct of </w:t>
      </w:r>
      <w:r w:rsidR="00EA6DFA" w:rsidRPr="00844C55">
        <w:rPr>
          <w:rFonts w:eastAsia="SimSun"/>
          <w:lang w:val="en-GB"/>
        </w:rPr>
        <w:t>marketers</w:t>
      </w:r>
      <w:r w:rsidR="00EA6DFA" w:rsidRPr="00844C55">
        <w:rPr>
          <w:lang w:val="en-GB"/>
        </w:rPr>
        <w:t xml:space="preserve"> </w:t>
      </w:r>
      <w:r w:rsidR="00EA6DFA" w:rsidRPr="00844C55">
        <w:rPr>
          <w:rFonts w:eastAsia="SimSun"/>
          <w:lang w:val="en-GB"/>
        </w:rPr>
        <w:t>with a purpose</w:t>
      </w:r>
      <w:r w:rsidR="00EA6DFA" w:rsidRPr="00844C55">
        <w:rPr>
          <w:lang w:val="en-GB"/>
        </w:rPr>
        <w:t xml:space="preserve"> to ensure</w:t>
      </w:r>
      <w:r w:rsidR="00EA6DFA" w:rsidRPr="00844C55">
        <w:rPr>
          <w:rFonts w:eastAsia="SimSun"/>
          <w:lang w:val="en-GB"/>
        </w:rPr>
        <w:t xml:space="preserve"> that</w:t>
      </w:r>
      <w:r w:rsidR="00EA6DFA" w:rsidRPr="00844C55">
        <w:rPr>
          <w:lang w:val="en-GB"/>
        </w:rPr>
        <w:t xml:space="preserve"> they do not </w:t>
      </w:r>
      <w:r w:rsidR="00A86F99" w:rsidRPr="00844C55">
        <w:rPr>
          <w:rFonts w:eastAsia="SimSun"/>
          <w:lang w:val="en-GB"/>
        </w:rPr>
        <w:t>significantly harm</w:t>
      </w:r>
      <w:r w:rsidR="00EA6DFA" w:rsidRPr="00844C55">
        <w:rPr>
          <w:lang w:val="en-GB"/>
        </w:rPr>
        <w:t xml:space="preserve"> effective competition</w:t>
      </w:r>
      <w:r w:rsidR="00B1100D" w:rsidRPr="00844C55">
        <w:rPr>
          <w:rFonts w:eastAsia="SimSun"/>
          <w:lang w:val="en-GB"/>
        </w:rPr>
        <w:t>.</w:t>
      </w:r>
      <w:r w:rsidR="00EA6DFA" w:rsidRPr="00844C55">
        <w:rPr>
          <w:lang w:val="en-GB"/>
        </w:rPr>
        <w:t xml:space="preserve"> It prohibits collusive agreements, bans abusive behaviours by a dominant firm and enforces merger control. </w:t>
      </w:r>
    </w:p>
    <w:p w:rsidR="004530ED" w:rsidRPr="00F76FC6" w:rsidRDefault="00F76FC6" w:rsidP="004530ED">
      <w:pPr>
        <w:rPr>
          <w:lang w:val="en-GB"/>
        </w:rPr>
      </w:pPr>
      <w:r>
        <w:rPr>
          <w:lang w:val="en-GB"/>
        </w:rPr>
        <w:t>C</w:t>
      </w:r>
      <w:r w:rsidR="008060A2" w:rsidRPr="00844C55">
        <w:rPr>
          <w:lang w:val="en-GB"/>
        </w:rPr>
        <w:t xml:space="preserve">onflicts </w:t>
      </w:r>
      <w:r w:rsidR="00CB2536" w:rsidRPr="00844C55">
        <w:rPr>
          <w:lang w:val="en-GB"/>
        </w:rPr>
        <w:t>may occur</w:t>
      </w:r>
      <w:r w:rsidR="003C25F7" w:rsidRPr="00844C55">
        <w:rPr>
          <w:lang w:val="en-GB"/>
        </w:rPr>
        <w:t xml:space="preserve"> </w:t>
      </w:r>
      <w:r w:rsidR="008060A2" w:rsidRPr="00844C55">
        <w:rPr>
          <w:lang w:val="en-GB"/>
        </w:rPr>
        <w:t xml:space="preserve">between the two policies </w:t>
      </w:r>
      <w:r w:rsidR="003C25F7" w:rsidRPr="00844C55">
        <w:rPr>
          <w:lang w:val="en-GB"/>
        </w:rPr>
        <w:t>with respect to the means use</w:t>
      </w:r>
      <w:r w:rsidR="008060A2" w:rsidRPr="00844C55">
        <w:rPr>
          <w:lang w:val="en-GB"/>
        </w:rPr>
        <w:t>d respectively</w:t>
      </w:r>
      <w:r w:rsidR="003C25F7" w:rsidRPr="00844C55">
        <w:rPr>
          <w:lang w:val="en-GB"/>
        </w:rPr>
        <w:t xml:space="preserve"> to </w:t>
      </w:r>
      <w:r w:rsidR="008A0D31" w:rsidRPr="00844C55">
        <w:rPr>
          <w:lang w:val="en-GB"/>
        </w:rPr>
        <w:t>realise</w:t>
      </w:r>
      <w:r w:rsidR="003C25F7" w:rsidRPr="00844C55">
        <w:rPr>
          <w:lang w:val="en-GB"/>
        </w:rPr>
        <w:t xml:space="preserve"> </w:t>
      </w:r>
      <w:r w:rsidR="008060A2" w:rsidRPr="00844C55">
        <w:rPr>
          <w:lang w:val="en-GB"/>
        </w:rPr>
        <w:t>the</w:t>
      </w:r>
      <w:r w:rsidR="00A57BDD">
        <w:rPr>
          <w:lang w:val="en-GB"/>
        </w:rPr>
        <w:t>ir</w:t>
      </w:r>
      <w:r w:rsidR="003C25F7" w:rsidRPr="00844C55">
        <w:rPr>
          <w:lang w:val="en-GB"/>
        </w:rPr>
        <w:t xml:space="preserve"> goals</w:t>
      </w:r>
      <w:r w:rsidR="008060A2" w:rsidRPr="00844C55">
        <w:rPr>
          <w:lang w:val="en-GB"/>
        </w:rPr>
        <w:t xml:space="preserve">. </w:t>
      </w:r>
      <w:r w:rsidR="00E05A03">
        <w:rPr>
          <w:rFonts w:eastAsia="SimSun"/>
          <w:lang w:val="en-GB"/>
        </w:rPr>
        <w:t>T</w:t>
      </w:r>
      <w:r w:rsidR="00E05A03">
        <w:rPr>
          <w:rFonts w:eastAsia="SimSun" w:hint="eastAsia"/>
          <w:lang w:val="en-GB"/>
        </w:rPr>
        <w:t>he e</w:t>
      </w:r>
      <w:r w:rsidR="00B50996" w:rsidRPr="00844C55">
        <w:rPr>
          <w:rFonts w:ascii="TimesNewRoman" w:hAnsi="TimesNewRoman" w:cs="TimesNewRoman"/>
          <w:szCs w:val="24"/>
          <w:lang w:val="en-GB"/>
        </w:rPr>
        <w:t>xclusive</w:t>
      </w:r>
      <w:r w:rsidR="0083287B" w:rsidRPr="00844C55">
        <w:rPr>
          <w:rFonts w:ascii="TimesNewRoman" w:hAnsi="TimesNewRoman" w:cs="TimesNewRoman"/>
          <w:szCs w:val="24"/>
          <w:lang w:val="en-GB"/>
        </w:rPr>
        <w:t xml:space="preserve"> right</w:t>
      </w:r>
      <w:r w:rsidR="0083287B" w:rsidRPr="00844C55">
        <w:rPr>
          <w:rFonts w:ascii="TimesNewRoman" w:eastAsia="SimSun" w:hAnsi="TimesNewRoman" w:cs="TimesNewRoman"/>
          <w:szCs w:val="24"/>
          <w:lang w:val="en-GB"/>
        </w:rPr>
        <w:t xml:space="preserve"> </w:t>
      </w:r>
      <w:r w:rsidR="00E05A03">
        <w:rPr>
          <w:rFonts w:ascii="TimesNewRoman" w:eastAsia="SimSun" w:hAnsi="TimesNewRoman" w:cs="TimesNewRoman" w:hint="eastAsia"/>
          <w:szCs w:val="24"/>
          <w:lang w:val="en-GB"/>
        </w:rPr>
        <w:t>conferr</w:t>
      </w:r>
      <w:r w:rsidR="00B50996" w:rsidRPr="00844C55">
        <w:rPr>
          <w:rFonts w:ascii="TimesNewRoman" w:eastAsia="SimSun" w:hAnsi="TimesNewRoman" w:cs="TimesNewRoman"/>
          <w:szCs w:val="24"/>
          <w:lang w:val="en-GB"/>
        </w:rPr>
        <w:t>ed by an IP</w:t>
      </w:r>
      <w:r w:rsidR="0048791F" w:rsidRPr="00844C55">
        <w:rPr>
          <w:rFonts w:ascii="TimesNewRoman" w:eastAsia="SimSun" w:hAnsi="TimesNewRoman" w:cs="TimesNewRoman"/>
          <w:szCs w:val="24"/>
          <w:lang w:val="en-GB"/>
        </w:rPr>
        <w:t xml:space="preserve"> resembles monopoly power</w:t>
      </w:r>
      <w:r w:rsidR="0083287B" w:rsidRPr="00844C55">
        <w:rPr>
          <w:rFonts w:ascii="TimesNewRoman" w:eastAsia="SimSun" w:hAnsi="TimesNewRoman" w:cs="TimesNewRoman"/>
          <w:szCs w:val="24"/>
          <w:lang w:val="en-GB"/>
        </w:rPr>
        <w:t xml:space="preserve">. </w:t>
      </w:r>
      <w:r w:rsidR="000B059E" w:rsidRPr="00844C55">
        <w:rPr>
          <w:rFonts w:ascii="TimesNewRoman" w:eastAsia="SimSun" w:hAnsi="TimesNewRoman" w:cs="TimesNewRoman"/>
          <w:szCs w:val="24"/>
          <w:lang w:val="en-GB"/>
        </w:rPr>
        <w:t>A</w:t>
      </w:r>
      <w:r w:rsidR="004530ED" w:rsidRPr="00844C55">
        <w:rPr>
          <w:rFonts w:ascii="TimesNewRoman" w:eastAsia="SimSun" w:hAnsi="TimesNewRoman" w:cs="TimesNewRoman"/>
          <w:szCs w:val="24"/>
          <w:lang w:val="en-GB"/>
        </w:rPr>
        <w:t xml:space="preserve">n </w:t>
      </w:r>
      <w:r w:rsidR="00D8492E">
        <w:rPr>
          <w:rFonts w:ascii="TimesNewRoman" w:eastAsia="SimSun" w:hAnsi="TimesNewRoman" w:cs="TimesNewRoman"/>
          <w:szCs w:val="24"/>
          <w:lang w:val="en-GB"/>
        </w:rPr>
        <w:t xml:space="preserve">IPR holder </w:t>
      </w:r>
      <w:r w:rsidR="004530ED" w:rsidRPr="00844C55">
        <w:rPr>
          <w:rFonts w:eastAsia="SimSun"/>
          <w:lang w:val="en-GB"/>
        </w:rPr>
        <w:t>may</w:t>
      </w:r>
      <w:r w:rsidR="00D67283" w:rsidRPr="00844C55">
        <w:rPr>
          <w:rFonts w:eastAsia="SimSun"/>
          <w:lang w:val="en-GB"/>
        </w:rPr>
        <w:t xml:space="preserve"> hinder</w:t>
      </w:r>
      <w:r w:rsidR="00D67283" w:rsidRPr="00844C55">
        <w:rPr>
          <w:lang w:val="en-GB"/>
        </w:rPr>
        <w:t xml:space="preserve"> </w:t>
      </w:r>
      <w:r w:rsidR="007F39DD" w:rsidRPr="00844C55">
        <w:rPr>
          <w:rFonts w:eastAsia="SimSun"/>
          <w:lang w:val="en-GB"/>
        </w:rPr>
        <w:t xml:space="preserve">the competition </w:t>
      </w:r>
      <w:r w:rsidR="004530ED" w:rsidRPr="00844C55">
        <w:rPr>
          <w:rFonts w:eastAsia="SimSun"/>
          <w:lang w:val="en-GB"/>
        </w:rPr>
        <w:t xml:space="preserve">of </w:t>
      </w:r>
      <w:r w:rsidR="00B50996" w:rsidRPr="00844C55">
        <w:rPr>
          <w:rFonts w:eastAsia="SimSun"/>
          <w:lang w:val="en-GB"/>
        </w:rPr>
        <w:t xml:space="preserve">the </w:t>
      </w:r>
      <w:r w:rsidR="00D67283" w:rsidRPr="00844C55">
        <w:rPr>
          <w:lang w:val="en-GB"/>
        </w:rPr>
        <w:t>product</w:t>
      </w:r>
      <w:r w:rsidR="005045EF" w:rsidRPr="00844C55">
        <w:rPr>
          <w:rFonts w:eastAsia="SimSun"/>
          <w:lang w:val="en-GB"/>
        </w:rPr>
        <w:t>s</w:t>
      </w:r>
      <w:r w:rsidR="00D67283" w:rsidRPr="00844C55">
        <w:rPr>
          <w:lang w:val="en-GB"/>
        </w:rPr>
        <w:t xml:space="preserve"> </w:t>
      </w:r>
      <w:r w:rsidR="00DE03F3" w:rsidRPr="00844C55">
        <w:rPr>
          <w:rFonts w:eastAsia="SimSun"/>
          <w:lang w:val="en-GB"/>
        </w:rPr>
        <w:t>containing</w:t>
      </w:r>
      <w:r w:rsidR="00D67283" w:rsidRPr="00844C55">
        <w:rPr>
          <w:rFonts w:eastAsia="SimSun"/>
          <w:lang w:val="en-GB"/>
        </w:rPr>
        <w:t xml:space="preserve"> </w:t>
      </w:r>
      <w:r w:rsidR="00B50996" w:rsidRPr="00844C55">
        <w:rPr>
          <w:rFonts w:eastAsia="SimSun"/>
          <w:lang w:val="en-GB"/>
        </w:rPr>
        <w:t>his</w:t>
      </w:r>
      <w:r w:rsidR="00D67283" w:rsidRPr="00844C55">
        <w:rPr>
          <w:rFonts w:eastAsia="SimSun"/>
          <w:lang w:val="en-GB"/>
        </w:rPr>
        <w:t xml:space="preserve"> </w:t>
      </w:r>
      <w:r w:rsidR="00606FCB">
        <w:rPr>
          <w:rFonts w:eastAsia="SimSun"/>
          <w:lang w:val="en-GB"/>
        </w:rPr>
        <w:t xml:space="preserve">IPR </w:t>
      </w:r>
      <w:r w:rsidR="000B059E" w:rsidRPr="00844C55">
        <w:rPr>
          <w:rFonts w:eastAsia="SimSun"/>
          <w:lang w:val="en-GB"/>
        </w:rPr>
        <w:t>or</w:t>
      </w:r>
      <w:r w:rsidR="004530ED" w:rsidRPr="00844C55">
        <w:rPr>
          <w:rFonts w:eastAsia="SimSun"/>
          <w:lang w:val="en-GB"/>
        </w:rPr>
        <w:t xml:space="preserve"> </w:t>
      </w:r>
      <w:r w:rsidR="00D67283" w:rsidRPr="00844C55">
        <w:rPr>
          <w:rFonts w:eastAsia="SimSun"/>
          <w:lang w:val="en-GB"/>
        </w:rPr>
        <w:t>grant access to</w:t>
      </w:r>
      <w:r w:rsidR="003E048D" w:rsidRPr="00844C55">
        <w:rPr>
          <w:lang w:val="en-GB"/>
        </w:rPr>
        <w:t xml:space="preserve"> </w:t>
      </w:r>
      <w:r w:rsidR="00B50996" w:rsidRPr="00844C55">
        <w:rPr>
          <w:rFonts w:eastAsia="SimSun"/>
          <w:lang w:val="en-GB"/>
        </w:rPr>
        <w:t>his</w:t>
      </w:r>
      <w:r w:rsidR="003E048D" w:rsidRPr="00844C55">
        <w:rPr>
          <w:lang w:val="en-GB"/>
        </w:rPr>
        <w:t xml:space="preserve"> </w:t>
      </w:r>
      <w:r w:rsidR="00606FCB">
        <w:rPr>
          <w:lang w:val="en-GB"/>
        </w:rPr>
        <w:t xml:space="preserve">IPR </w:t>
      </w:r>
      <w:r w:rsidR="008C26E6" w:rsidRPr="00844C55">
        <w:rPr>
          <w:rFonts w:eastAsia="SimSun"/>
          <w:lang w:val="en-GB"/>
        </w:rPr>
        <w:t>with restrictions at his own discretion</w:t>
      </w:r>
      <w:r w:rsidR="003E048D" w:rsidRPr="00844C55">
        <w:rPr>
          <w:lang w:val="en-GB"/>
        </w:rPr>
        <w:t xml:space="preserve">. </w:t>
      </w:r>
      <w:r w:rsidR="000B059E" w:rsidRPr="00844C55">
        <w:rPr>
          <w:rFonts w:eastAsia="SimSun"/>
          <w:lang w:val="en-GB"/>
        </w:rPr>
        <w:t xml:space="preserve">In order </w:t>
      </w:r>
      <w:r w:rsidR="000B059E" w:rsidRPr="00844C55">
        <w:rPr>
          <w:lang w:val="en-GB"/>
        </w:rPr>
        <w:t xml:space="preserve">to capture the full social value of </w:t>
      </w:r>
      <w:r w:rsidR="000B059E" w:rsidRPr="00844C55">
        <w:rPr>
          <w:rFonts w:eastAsia="SimSun"/>
          <w:lang w:val="en-GB"/>
        </w:rPr>
        <w:t xml:space="preserve">his </w:t>
      </w:r>
      <w:r w:rsidR="000B059E" w:rsidRPr="00844C55">
        <w:rPr>
          <w:lang w:val="en-GB"/>
        </w:rPr>
        <w:t>creations</w:t>
      </w:r>
      <w:r w:rsidR="000B059E" w:rsidRPr="00844C55">
        <w:rPr>
          <w:rFonts w:eastAsia="SimSun"/>
          <w:lang w:val="en-GB"/>
        </w:rPr>
        <w:t xml:space="preserve">, </w:t>
      </w:r>
      <w:r w:rsidR="00D8492E">
        <w:rPr>
          <w:rFonts w:eastAsia="SimSun"/>
          <w:lang w:val="en-GB"/>
        </w:rPr>
        <w:t xml:space="preserve">IPR holders </w:t>
      </w:r>
      <w:r w:rsidR="00B50996" w:rsidRPr="00844C55">
        <w:rPr>
          <w:rFonts w:eastAsia="SimSun"/>
          <w:lang w:val="en-GB"/>
        </w:rPr>
        <w:t>levy</w:t>
      </w:r>
      <w:r w:rsidR="003E048D" w:rsidRPr="00844C55">
        <w:rPr>
          <w:lang w:val="en-GB"/>
        </w:rPr>
        <w:t xml:space="preserve"> all kinds of restrictions</w:t>
      </w:r>
      <w:r w:rsidR="007B1AB0" w:rsidRPr="00844C55">
        <w:rPr>
          <w:rFonts w:eastAsia="SimSun"/>
          <w:lang w:val="en-GB"/>
        </w:rPr>
        <w:t xml:space="preserve"> in </w:t>
      </w:r>
      <w:r w:rsidR="00B50996" w:rsidRPr="00844C55">
        <w:rPr>
          <w:rFonts w:eastAsia="SimSun"/>
          <w:lang w:val="en-GB"/>
        </w:rPr>
        <w:t>IP</w:t>
      </w:r>
      <w:r w:rsidR="007B1AB0" w:rsidRPr="00844C55">
        <w:rPr>
          <w:rFonts w:eastAsia="SimSun"/>
          <w:lang w:val="en-GB"/>
        </w:rPr>
        <w:t xml:space="preserve"> licences</w:t>
      </w:r>
      <w:r w:rsidR="00CF773A" w:rsidRPr="00844C55">
        <w:rPr>
          <w:rFonts w:eastAsia="SimSun"/>
          <w:lang w:val="en-GB"/>
        </w:rPr>
        <w:t xml:space="preserve">, such as resale price maintenance and market allocation, </w:t>
      </w:r>
      <w:r w:rsidR="000B059E" w:rsidRPr="00844C55">
        <w:rPr>
          <w:rFonts w:eastAsia="SimSun"/>
          <w:lang w:val="en-GB"/>
        </w:rPr>
        <w:t>which could do significant harm to competition</w:t>
      </w:r>
      <w:r w:rsidR="00740F7E" w:rsidRPr="00844C55">
        <w:rPr>
          <w:rFonts w:eastAsia="SimSun"/>
          <w:lang w:val="en-GB"/>
        </w:rPr>
        <w:t>. Competition</w:t>
      </w:r>
      <w:r w:rsidR="00CF773A" w:rsidRPr="00844C55">
        <w:rPr>
          <w:rFonts w:eastAsia="SimSun"/>
          <w:lang w:val="en-GB"/>
        </w:rPr>
        <w:t xml:space="preserve"> law</w:t>
      </w:r>
      <w:r w:rsidR="00740F7E" w:rsidRPr="00844C55">
        <w:rPr>
          <w:rFonts w:eastAsia="SimSun"/>
          <w:lang w:val="en-GB"/>
        </w:rPr>
        <w:t>,</w:t>
      </w:r>
      <w:r w:rsidR="00740F7E" w:rsidRPr="00844C55">
        <w:rPr>
          <w:lang w:val="en-GB"/>
        </w:rPr>
        <w:t xml:space="preserve"> </w:t>
      </w:r>
      <w:r w:rsidR="00740F7E" w:rsidRPr="00844C55">
        <w:rPr>
          <w:rFonts w:eastAsia="SimSun"/>
          <w:lang w:val="en-GB"/>
        </w:rPr>
        <w:t>on the other hand, seeks</w:t>
      </w:r>
      <w:r w:rsidR="00CF773A" w:rsidRPr="00844C55">
        <w:rPr>
          <w:rFonts w:eastAsia="SimSun"/>
          <w:lang w:val="en-GB"/>
        </w:rPr>
        <w:t xml:space="preserve"> to constrain </w:t>
      </w:r>
      <w:r w:rsidR="0048791F" w:rsidRPr="00844C55">
        <w:rPr>
          <w:rFonts w:eastAsia="SimSun"/>
          <w:lang w:val="en-GB"/>
        </w:rPr>
        <w:t>monopoly</w:t>
      </w:r>
      <w:r w:rsidR="00CF773A" w:rsidRPr="00844C55">
        <w:rPr>
          <w:rFonts w:eastAsia="SimSun"/>
          <w:lang w:val="en-GB"/>
        </w:rPr>
        <w:t xml:space="preserve"> power</w:t>
      </w:r>
      <w:r w:rsidR="00E05A03">
        <w:rPr>
          <w:rFonts w:eastAsia="SimSun" w:hint="eastAsia"/>
          <w:lang w:val="en-GB"/>
        </w:rPr>
        <w:t>s</w:t>
      </w:r>
      <w:r w:rsidR="00CF773A" w:rsidRPr="00844C55">
        <w:rPr>
          <w:rFonts w:eastAsia="SimSun"/>
          <w:lang w:val="en-GB"/>
        </w:rPr>
        <w:t xml:space="preserve"> from </w:t>
      </w:r>
      <w:r w:rsidR="0048791F" w:rsidRPr="00844C55">
        <w:rPr>
          <w:rFonts w:eastAsia="SimSun"/>
          <w:lang w:val="en-GB"/>
        </w:rPr>
        <w:t xml:space="preserve">being </w:t>
      </w:r>
      <w:r w:rsidR="006740FB" w:rsidRPr="00844C55">
        <w:rPr>
          <w:rFonts w:eastAsia="SimSun"/>
          <w:lang w:val="en-GB"/>
        </w:rPr>
        <w:t xml:space="preserve">unlawfully </w:t>
      </w:r>
      <w:r w:rsidR="0048791F" w:rsidRPr="00844C55">
        <w:rPr>
          <w:rFonts w:eastAsia="SimSun"/>
          <w:lang w:val="en-GB"/>
        </w:rPr>
        <w:t>created or abused</w:t>
      </w:r>
      <w:r w:rsidR="00454F72" w:rsidRPr="00844C55">
        <w:rPr>
          <w:rFonts w:eastAsia="SimSun"/>
          <w:lang w:val="en-GB"/>
        </w:rPr>
        <w:t xml:space="preserve">, and prohibit any </w:t>
      </w:r>
      <w:r w:rsidR="00EE7594" w:rsidRPr="00844C55">
        <w:rPr>
          <w:rFonts w:eastAsia="SimSun"/>
          <w:lang w:val="en-GB"/>
        </w:rPr>
        <w:t xml:space="preserve">collusion </w:t>
      </w:r>
      <w:r w:rsidR="00454F72" w:rsidRPr="00844C55">
        <w:rPr>
          <w:rFonts w:eastAsia="SimSun"/>
          <w:lang w:val="en-GB"/>
        </w:rPr>
        <w:t>in restraint of competition</w:t>
      </w:r>
      <w:r w:rsidR="00CF773A" w:rsidRPr="00844C55">
        <w:rPr>
          <w:rFonts w:eastAsia="SimSun"/>
          <w:lang w:val="en-GB"/>
        </w:rPr>
        <w:t xml:space="preserve">. </w:t>
      </w:r>
      <w:r w:rsidR="00606FCB">
        <w:rPr>
          <w:rFonts w:eastAsia="SimSun" w:hint="eastAsia"/>
          <w:lang w:val="en-GB"/>
        </w:rPr>
        <w:t xml:space="preserve">IPRs </w:t>
      </w:r>
      <w:r w:rsidR="00F45326">
        <w:rPr>
          <w:rFonts w:eastAsia="SimSun" w:hint="eastAsia"/>
          <w:lang w:val="en-GB"/>
        </w:rPr>
        <w:t xml:space="preserve">are not immune from competition law. </w:t>
      </w:r>
      <w:r w:rsidR="00680887" w:rsidRPr="00844C55">
        <w:rPr>
          <w:rFonts w:eastAsia="SimSun"/>
          <w:lang w:val="en-GB"/>
        </w:rPr>
        <w:t>The e</w:t>
      </w:r>
      <w:r w:rsidR="004C48E4" w:rsidRPr="00844C55">
        <w:rPr>
          <w:rFonts w:eastAsia="SimSun"/>
          <w:lang w:val="en-GB"/>
        </w:rPr>
        <w:t>xercise</w:t>
      </w:r>
      <w:r w:rsidR="00680887" w:rsidRPr="00844C55">
        <w:rPr>
          <w:rFonts w:eastAsia="SimSun"/>
          <w:lang w:val="en-GB"/>
        </w:rPr>
        <w:t xml:space="preserve"> of IP rights</w:t>
      </w:r>
      <w:r w:rsidR="00EE7594" w:rsidRPr="00844C55">
        <w:rPr>
          <w:rFonts w:eastAsia="SimSun"/>
          <w:lang w:val="en-GB"/>
        </w:rPr>
        <w:t>, either unilateral or by licensing,</w:t>
      </w:r>
      <w:r w:rsidR="00680887" w:rsidRPr="00844C55">
        <w:rPr>
          <w:rFonts w:eastAsia="SimSun"/>
          <w:lang w:val="en-GB"/>
        </w:rPr>
        <w:t xml:space="preserve"> might </w:t>
      </w:r>
      <w:r w:rsidR="00740F7E" w:rsidRPr="00844C55">
        <w:rPr>
          <w:rFonts w:eastAsia="SimSun"/>
          <w:lang w:val="en-GB"/>
        </w:rPr>
        <w:t>be caught by the radar of competition law</w:t>
      </w:r>
      <w:r w:rsidR="00C7292E" w:rsidRPr="00844C55">
        <w:rPr>
          <w:rFonts w:eastAsia="SimSun"/>
          <w:lang w:val="en-GB"/>
        </w:rPr>
        <w:t xml:space="preserve"> if it </w:t>
      </w:r>
      <w:r w:rsidR="00FD557F" w:rsidRPr="00844C55">
        <w:rPr>
          <w:rFonts w:eastAsia="SimSun"/>
          <w:lang w:val="en-GB"/>
        </w:rPr>
        <w:t>is</w:t>
      </w:r>
      <w:r w:rsidR="00C7292E" w:rsidRPr="00844C55">
        <w:rPr>
          <w:rFonts w:eastAsia="SimSun"/>
          <w:lang w:val="en-GB"/>
        </w:rPr>
        <w:t xml:space="preserve"> regarded as a competition hazard</w:t>
      </w:r>
      <w:r w:rsidR="00740F7E" w:rsidRPr="00844C55">
        <w:rPr>
          <w:rFonts w:eastAsia="SimSun"/>
          <w:lang w:val="en-GB"/>
        </w:rPr>
        <w:t xml:space="preserve">. </w:t>
      </w:r>
    </w:p>
    <w:p w:rsidR="00F45326" w:rsidRPr="00844C55" w:rsidRDefault="004117F7" w:rsidP="00F45326">
      <w:pPr>
        <w:rPr>
          <w:rFonts w:ascii="TimesNewRoman" w:eastAsia="SimSun" w:hAnsi="TimesNewRoman" w:cs="TimesNewRoman"/>
          <w:szCs w:val="24"/>
          <w:lang w:val="en-GB" w:bidi="ar-SA"/>
        </w:rPr>
      </w:pPr>
      <w:r w:rsidRPr="00844C55">
        <w:rPr>
          <w:lang w:val="en-GB"/>
        </w:rPr>
        <w:t>For many years, the courts and competition authorities have struggled to find a way to identify the conduct</w:t>
      </w:r>
      <w:r w:rsidRPr="00844C55">
        <w:rPr>
          <w:rFonts w:eastAsia="SimSun"/>
          <w:lang w:val="en-GB"/>
        </w:rPr>
        <w:t xml:space="preserve"> involving </w:t>
      </w:r>
      <w:r w:rsidR="00606FCB">
        <w:rPr>
          <w:rFonts w:eastAsia="SimSun"/>
          <w:lang w:val="en-GB"/>
        </w:rPr>
        <w:t xml:space="preserve">IPRs </w:t>
      </w:r>
      <w:r w:rsidRPr="00844C55">
        <w:rPr>
          <w:rFonts w:eastAsia="SimSun"/>
          <w:lang w:val="en-GB"/>
        </w:rPr>
        <w:t>which might run afoul of competition law and to preserve effective competition without interrupting the legitimate exercise of IP rights.</w:t>
      </w:r>
      <w:r w:rsidRPr="004117F7">
        <w:rPr>
          <w:rFonts w:eastAsia="SimSun"/>
          <w:lang w:val="en-GB"/>
        </w:rPr>
        <w:t xml:space="preserve"> </w:t>
      </w:r>
      <w:r w:rsidR="00042091" w:rsidRPr="00844C55">
        <w:rPr>
          <w:rFonts w:eastAsia="SimSun"/>
          <w:lang w:val="en-GB"/>
        </w:rPr>
        <w:t xml:space="preserve">The position of </w:t>
      </w:r>
      <w:r w:rsidR="00606FCB">
        <w:rPr>
          <w:rFonts w:eastAsia="SimSun"/>
          <w:lang w:val="en-GB"/>
        </w:rPr>
        <w:t xml:space="preserve">IPRs </w:t>
      </w:r>
      <w:r w:rsidR="00042091" w:rsidRPr="00844C55">
        <w:rPr>
          <w:rFonts w:eastAsia="SimSun"/>
          <w:lang w:val="en-GB"/>
        </w:rPr>
        <w:t>has not been concordant all the time in the context of competition law</w:t>
      </w:r>
      <w:r w:rsidR="00042091">
        <w:rPr>
          <w:rFonts w:eastAsia="SimSun"/>
          <w:lang w:val="en-GB"/>
        </w:rPr>
        <w:t>,</w:t>
      </w:r>
      <w:r w:rsidR="00042091" w:rsidRPr="00844C55">
        <w:rPr>
          <w:rStyle w:val="FootnoteReference"/>
          <w:rFonts w:eastAsia="SimSun"/>
          <w:lang w:val="en-GB"/>
        </w:rPr>
        <w:footnoteReference w:id="6"/>
      </w:r>
      <w:r w:rsidR="00042091" w:rsidRPr="00844C55">
        <w:rPr>
          <w:rFonts w:eastAsia="SimSun"/>
          <w:lang w:val="en-GB"/>
        </w:rPr>
        <w:t xml:space="preserve"> </w:t>
      </w:r>
      <w:r w:rsidR="002502E4">
        <w:rPr>
          <w:rFonts w:eastAsia="SimSun"/>
          <w:lang w:val="en-GB"/>
        </w:rPr>
        <w:t>bearing</w:t>
      </w:r>
      <w:r w:rsidR="00042091">
        <w:rPr>
          <w:rFonts w:eastAsia="SimSun"/>
          <w:lang w:val="en-GB"/>
        </w:rPr>
        <w:t xml:space="preserve"> </w:t>
      </w:r>
      <w:r w:rsidR="00042091" w:rsidRPr="00844C55">
        <w:rPr>
          <w:rFonts w:ascii="TimesNewRoman" w:eastAsia="SimSun" w:hAnsi="TimesNewRoman" w:cs="TimesNewRoman"/>
          <w:szCs w:val="24"/>
          <w:lang w:val="en-GB" w:bidi="ar-SA"/>
        </w:rPr>
        <w:t>“</w:t>
      </w:r>
      <w:r w:rsidR="00042091" w:rsidRPr="00844C55">
        <w:rPr>
          <w:rFonts w:ascii="TimesNewRoman" w:hAnsi="TimesNewRoman" w:cs="TimesNewRoman"/>
          <w:szCs w:val="24"/>
          <w:lang w:val="en-GB" w:bidi="ar-SA"/>
        </w:rPr>
        <w:t>a history without a great deal of</w:t>
      </w:r>
      <w:r w:rsidR="00042091" w:rsidRPr="00844C55">
        <w:rPr>
          <w:rFonts w:ascii="TimesNewRoman" w:eastAsia="SimSun" w:hAnsi="TimesNewRoman" w:cs="TimesNewRoman"/>
          <w:szCs w:val="24"/>
          <w:lang w:val="en-GB" w:bidi="ar-SA"/>
        </w:rPr>
        <w:t xml:space="preserve"> </w:t>
      </w:r>
      <w:r w:rsidR="00042091" w:rsidRPr="00844C55">
        <w:rPr>
          <w:rFonts w:ascii="TimesNewRoman" w:hAnsi="TimesNewRoman" w:cs="TimesNewRoman"/>
          <w:szCs w:val="24"/>
          <w:lang w:val="en-GB" w:bidi="ar-SA"/>
        </w:rPr>
        <w:t>consistency</w:t>
      </w:r>
      <w:r w:rsidR="00042091" w:rsidRPr="00844C55">
        <w:rPr>
          <w:rFonts w:ascii="TimesNewRoman" w:eastAsia="SimSun" w:hAnsi="TimesNewRoman" w:cs="TimesNewRoman"/>
          <w:szCs w:val="24"/>
          <w:lang w:val="en-GB" w:bidi="ar-SA"/>
        </w:rPr>
        <w:t>”</w:t>
      </w:r>
      <w:r w:rsidR="00042091">
        <w:rPr>
          <w:rFonts w:ascii="TimesNewRoman" w:eastAsia="SimSun" w:hAnsi="TimesNewRoman" w:cs="TimesNewRoman"/>
          <w:szCs w:val="24"/>
          <w:lang w:val="en-GB" w:bidi="ar-SA"/>
        </w:rPr>
        <w:t>.</w:t>
      </w:r>
      <w:r w:rsidR="00042091" w:rsidRPr="00844C55">
        <w:rPr>
          <w:rStyle w:val="FootnoteReference"/>
          <w:rFonts w:ascii="TimesNewRoman" w:eastAsia="SimSun" w:hAnsi="TimesNewRoman" w:cs="TimesNewRoman"/>
          <w:szCs w:val="24"/>
          <w:lang w:val="en-GB" w:bidi="ar-SA"/>
        </w:rPr>
        <w:footnoteReference w:id="7"/>
      </w:r>
      <w:r w:rsidR="00042091" w:rsidRPr="00844C55">
        <w:rPr>
          <w:rFonts w:ascii="TimesNewRoman" w:eastAsia="SimSun" w:hAnsi="TimesNewRoman" w:cs="TimesNewRoman"/>
          <w:szCs w:val="24"/>
          <w:lang w:val="en-GB" w:bidi="ar-SA"/>
        </w:rPr>
        <w:t xml:space="preserve"> </w:t>
      </w:r>
      <w:r w:rsidRPr="00844C55">
        <w:rPr>
          <w:rFonts w:eastAsia="SimSun"/>
          <w:lang w:val="en-GB"/>
        </w:rPr>
        <w:t xml:space="preserve">Currently, most competition jurisdictions agree that IP and competition law share the common purpose of promoting innovation and enhancing consumer welfare. </w:t>
      </w:r>
      <w:r w:rsidR="00F76FC6" w:rsidRPr="00F76FC6">
        <w:rPr>
          <w:rFonts w:eastAsia="SimSun"/>
          <w:i/>
          <w:iCs/>
          <w:lang w:val="en-GB"/>
        </w:rPr>
        <w:t>P</w:t>
      </w:r>
      <w:r w:rsidR="00042091" w:rsidRPr="00F76FC6">
        <w:rPr>
          <w:rFonts w:eastAsia="SimSun"/>
          <w:i/>
          <w:iCs/>
          <w:lang w:val="en-GB"/>
        </w:rPr>
        <w:t>er se</w:t>
      </w:r>
      <w:r w:rsidR="00042091" w:rsidRPr="00844C55">
        <w:rPr>
          <w:rFonts w:eastAsia="SimSun"/>
          <w:lang w:val="en-GB"/>
        </w:rPr>
        <w:t xml:space="preserve"> </w:t>
      </w:r>
      <w:r w:rsidR="00F76FC6">
        <w:rPr>
          <w:rFonts w:eastAsia="SimSun"/>
          <w:lang w:val="en-GB"/>
        </w:rPr>
        <w:t xml:space="preserve">rules have been replaced by the </w:t>
      </w:r>
      <w:r w:rsidR="00042091" w:rsidRPr="00844C55">
        <w:rPr>
          <w:rFonts w:eastAsia="SimSun"/>
          <w:lang w:val="en-GB"/>
        </w:rPr>
        <w:t xml:space="preserve">rule of reason for the competition analysis of IP related conduct. </w:t>
      </w:r>
      <w:r w:rsidR="00F76FC6">
        <w:rPr>
          <w:rFonts w:eastAsia="SimSun"/>
          <w:lang w:val="en-GB"/>
        </w:rPr>
        <w:t>Common understandings have been reached that a</w:t>
      </w:r>
      <w:r w:rsidRPr="00844C55">
        <w:rPr>
          <w:rFonts w:eastAsia="SimSun"/>
          <w:lang w:val="en-GB"/>
        </w:rPr>
        <w:t xml:space="preserve">n </w:t>
      </w:r>
      <w:r w:rsidR="00606FCB">
        <w:rPr>
          <w:rFonts w:eastAsia="SimSun"/>
          <w:lang w:val="en-GB"/>
        </w:rPr>
        <w:t xml:space="preserve">IPR </w:t>
      </w:r>
      <w:r w:rsidR="002502E4" w:rsidRPr="00844C55">
        <w:rPr>
          <w:rFonts w:eastAsia="SimSun"/>
          <w:lang w:val="en-GB"/>
        </w:rPr>
        <w:t>exclud</w:t>
      </w:r>
      <w:r w:rsidR="002502E4">
        <w:rPr>
          <w:rFonts w:eastAsia="SimSun"/>
          <w:lang w:val="en-GB"/>
        </w:rPr>
        <w:t>ing</w:t>
      </w:r>
      <w:r w:rsidR="002502E4" w:rsidRPr="00844C55">
        <w:rPr>
          <w:rFonts w:eastAsia="SimSun"/>
          <w:lang w:val="en-GB"/>
        </w:rPr>
        <w:t xml:space="preserve"> others from using the IP </w:t>
      </w:r>
      <w:r w:rsidRPr="00844C55">
        <w:rPr>
          <w:rFonts w:eastAsia="SimSun"/>
          <w:lang w:val="en-GB"/>
        </w:rPr>
        <w:t>does not create a presumption of monopoly</w:t>
      </w:r>
      <w:r w:rsidR="00F76FC6">
        <w:rPr>
          <w:rFonts w:eastAsia="SimSun"/>
          <w:lang w:val="en-GB"/>
        </w:rPr>
        <w:t>,</w:t>
      </w:r>
      <w:r w:rsidRPr="00844C55">
        <w:rPr>
          <w:rStyle w:val="FootnoteReference"/>
          <w:lang w:val="en-GB"/>
        </w:rPr>
        <w:footnoteReference w:id="8"/>
      </w:r>
      <w:r w:rsidRPr="00844C55">
        <w:rPr>
          <w:rFonts w:eastAsia="SimSun"/>
          <w:lang w:val="en-GB"/>
        </w:rPr>
        <w:t xml:space="preserve"> </w:t>
      </w:r>
      <w:r w:rsidR="00F76FC6">
        <w:rPr>
          <w:rFonts w:eastAsia="SimSun"/>
          <w:lang w:val="en-GB"/>
        </w:rPr>
        <w:t xml:space="preserve">that </w:t>
      </w:r>
      <w:r w:rsidRPr="00844C55">
        <w:rPr>
          <w:rFonts w:eastAsia="SimSun"/>
          <w:lang w:val="en-GB"/>
        </w:rPr>
        <w:t xml:space="preserve">IP licensing is generally pro-competitive as it </w:t>
      </w:r>
      <w:r w:rsidRPr="00844C55">
        <w:rPr>
          <w:lang w:val="en-GB"/>
        </w:rPr>
        <w:t>allows firms to combine complementary factors of production</w:t>
      </w:r>
      <w:r w:rsidR="00F76FC6">
        <w:rPr>
          <w:lang w:val="en-GB"/>
        </w:rPr>
        <w:t>, and that t</w:t>
      </w:r>
      <w:r w:rsidRPr="00844C55">
        <w:rPr>
          <w:rFonts w:eastAsia="SimSun"/>
          <w:lang w:val="en-GB"/>
        </w:rPr>
        <w:t xml:space="preserve">he achievement of a dominant position is compatible with competition law if it is based on innovation and IP rights. As Judge Posner has explained, “it is not a violation of laws to acquire a monopoly by lawful means, and those means include </w:t>
      </w:r>
      <w:r w:rsidRPr="00844C55">
        <w:rPr>
          <w:rFonts w:eastAsia="SimSun"/>
          <w:lang w:val="en-GB"/>
        </w:rPr>
        <w:lastRenderedPageBreak/>
        <w:t>innovations protected from competition by the intellectual property laws.”</w:t>
      </w:r>
      <w:r w:rsidRPr="00844C55">
        <w:rPr>
          <w:rStyle w:val="FootnoteReference"/>
          <w:rFonts w:ascii="BookAntiqua" w:hAnsi="BookAntiqua" w:cs="BookAntiqua"/>
          <w:szCs w:val="24"/>
          <w:lang w:val="en-GB" w:bidi="ar-SA"/>
        </w:rPr>
        <w:footnoteReference w:id="9"/>
      </w:r>
      <w:r w:rsidR="00F45326">
        <w:rPr>
          <w:rFonts w:eastAsia="SimSun" w:hint="eastAsia"/>
          <w:lang w:val="en-GB"/>
        </w:rPr>
        <w:t xml:space="preserve"> </w:t>
      </w:r>
      <w:r w:rsidR="00F45326" w:rsidRPr="00844C55">
        <w:rPr>
          <w:rFonts w:eastAsia="SimSun"/>
          <w:lang w:val="en-GB"/>
        </w:rPr>
        <w:t xml:space="preserve">Modern </w:t>
      </w:r>
      <w:r w:rsidR="00F45326" w:rsidRPr="00844C55">
        <w:rPr>
          <w:lang w:val="en-GB"/>
        </w:rPr>
        <w:t>IP law, in particular patent law, “reflects a careful balance between the need to encourage innovation and the avoidance of monopolies which stifle competition without any concomitant advance in the ‘Progress of Science and useful Arts.’”</w:t>
      </w:r>
      <w:r w:rsidR="00F45326" w:rsidRPr="00844C55">
        <w:rPr>
          <w:rStyle w:val="FootnoteReference"/>
          <w:lang w:val="en-GB"/>
        </w:rPr>
        <w:footnoteReference w:id="10"/>
      </w:r>
      <w:r w:rsidR="00F45326">
        <w:rPr>
          <w:lang w:val="en-GB"/>
        </w:rPr>
        <w:t xml:space="preserve"> </w:t>
      </w:r>
    </w:p>
    <w:p w:rsidR="00663A57" w:rsidRPr="00844C55" w:rsidRDefault="001F77DE" w:rsidP="00663A57">
      <w:pPr>
        <w:pStyle w:val="Heading2"/>
        <w:rPr>
          <w:rFonts w:eastAsia="SimSun"/>
          <w:lang w:val="en-GB" w:bidi="ar-SA"/>
        </w:rPr>
      </w:pPr>
      <w:r w:rsidRPr="00844C55">
        <w:rPr>
          <w:rFonts w:eastAsia="SimSun"/>
          <w:lang w:val="en-GB"/>
        </w:rPr>
        <w:t>Compulsory Licensing</w:t>
      </w:r>
    </w:p>
    <w:p w:rsidR="00C63FA2" w:rsidRPr="00844C55" w:rsidRDefault="004E2C86" w:rsidP="00C63FA2">
      <w:pPr>
        <w:rPr>
          <w:rFonts w:ascii="TimesNewRoman" w:eastAsia="SimSun" w:hAnsi="TimesNewRoman" w:cs="TimesNewRoman"/>
          <w:szCs w:val="24"/>
          <w:lang w:val="en-GB" w:bidi="ar-SA"/>
        </w:rPr>
      </w:pPr>
      <w:r w:rsidRPr="004E2C86">
        <w:rPr>
          <w:rFonts w:eastAsia="SimSun"/>
          <w:lang w:val="en-GB" w:bidi="ar-SA"/>
        </w:rPr>
        <w:t xml:space="preserve">A compulsory license is </w:t>
      </w:r>
      <w:r w:rsidR="001140F0" w:rsidRPr="004E2C86">
        <w:rPr>
          <w:rFonts w:eastAsia="SimSun"/>
          <w:lang w:val="en-GB" w:bidi="ar-SA"/>
        </w:rPr>
        <w:t>a</w:t>
      </w:r>
      <w:r w:rsidRPr="004E2C86">
        <w:rPr>
          <w:rFonts w:eastAsia="SimSun"/>
          <w:lang w:val="en-GB" w:bidi="ar-SA"/>
        </w:rPr>
        <w:t xml:space="preserve"> </w:t>
      </w:r>
      <w:r w:rsidR="001140F0">
        <w:rPr>
          <w:rFonts w:eastAsia="SimSun"/>
          <w:lang w:val="en-GB" w:bidi="ar-SA"/>
        </w:rPr>
        <w:t>use</w:t>
      </w:r>
      <w:r w:rsidRPr="004E2C86">
        <w:rPr>
          <w:rFonts w:eastAsia="SimSun"/>
          <w:lang w:val="en-GB" w:bidi="ar-SA"/>
        </w:rPr>
        <w:t xml:space="preserve"> </w:t>
      </w:r>
      <w:r w:rsidR="001D6D49" w:rsidRPr="004E2C86">
        <w:rPr>
          <w:rFonts w:eastAsia="SimSun"/>
          <w:lang w:val="en-GB" w:bidi="ar-SA"/>
        </w:rPr>
        <w:t xml:space="preserve">of a subject matter protected by </w:t>
      </w:r>
      <w:r w:rsidR="00606FCB">
        <w:rPr>
          <w:rFonts w:eastAsia="SimSun"/>
          <w:lang w:val="en-GB" w:bidi="ar-SA"/>
        </w:rPr>
        <w:t xml:space="preserve">IPRs </w:t>
      </w:r>
      <w:r w:rsidRPr="004E2C86">
        <w:rPr>
          <w:rFonts w:eastAsia="SimSun"/>
          <w:lang w:val="en-GB" w:bidi="ar-SA"/>
        </w:rPr>
        <w:t xml:space="preserve">without </w:t>
      </w:r>
      <w:r w:rsidR="001140F0">
        <w:rPr>
          <w:rFonts w:eastAsia="SimSun"/>
          <w:lang w:val="en-GB" w:bidi="ar-SA"/>
        </w:rPr>
        <w:t>authorization</w:t>
      </w:r>
      <w:r w:rsidR="008202F6">
        <w:rPr>
          <w:rFonts w:eastAsia="SimSun"/>
          <w:lang w:val="en-GB" w:bidi="ar-SA"/>
        </w:rPr>
        <w:t xml:space="preserve"> of the right </w:t>
      </w:r>
      <w:r w:rsidR="001140F0">
        <w:rPr>
          <w:rFonts w:eastAsia="SimSun"/>
          <w:lang w:val="en-GB" w:bidi="ar-SA"/>
        </w:rPr>
        <w:t>holder.</w:t>
      </w:r>
      <w:r w:rsidR="001140F0">
        <w:rPr>
          <w:rStyle w:val="FootnoteReference"/>
          <w:rFonts w:eastAsia="SimSun"/>
          <w:lang w:val="en-GB" w:bidi="ar-SA"/>
        </w:rPr>
        <w:footnoteReference w:id="11"/>
      </w:r>
      <w:r w:rsidR="001140F0">
        <w:rPr>
          <w:rFonts w:eastAsia="SimSun"/>
          <w:lang w:val="en-GB" w:bidi="ar-SA"/>
        </w:rPr>
        <w:t xml:space="preserve"> </w:t>
      </w:r>
      <w:r w:rsidR="001D6D49" w:rsidRPr="00844C55">
        <w:rPr>
          <w:rFonts w:eastAsia="SimSun"/>
          <w:lang w:val="en-GB" w:bidi="ar-SA"/>
        </w:rPr>
        <w:t xml:space="preserve">Compulsory licensing </w:t>
      </w:r>
      <w:r w:rsidR="00F546B3" w:rsidRPr="00844C55">
        <w:rPr>
          <w:rFonts w:eastAsia="SimSun"/>
          <w:lang w:val="en-GB" w:bidi="ar-SA"/>
        </w:rPr>
        <w:t>forc</w:t>
      </w:r>
      <w:r w:rsidR="00F546B3">
        <w:rPr>
          <w:rFonts w:eastAsia="SimSun" w:hint="eastAsia"/>
          <w:lang w:val="en-GB" w:bidi="ar-SA"/>
        </w:rPr>
        <w:t>es</w:t>
      </w:r>
      <w:r w:rsidR="00F546B3">
        <w:rPr>
          <w:rFonts w:eastAsia="SimSun"/>
          <w:lang w:val="en-GB" w:bidi="ar-SA"/>
        </w:rPr>
        <w:t xml:space="preserve"> the </w:t>
      </w:r>
      <w:r w:rsidR="00D8492E">
        <w:rPr>
          <w:rFonts w:eastAsia="SimSun"/>
          <w:lang w:val="en-GB" w:bidi="ar-SA"/>
        </w:rPr>
        <w:t xml:space="preserve">IPR holder </w:t>
      </w:r>
      <w:r w:rsidR="00F546B3" w:rsidRPr="00844C55">
        <w:rPr>
          <w:rFonts w:eastAsia="SimSun"/>
          <w:lang w:val="en-GB" w:bidi="ar-SA"/>
        </w:rPr>
        <w:t xml:space="preserve">to grant licences </w:t>
      </w:r>
      <w:r w:rsidR="00F546B3">
        <w:rPr>
          <w:rFonts w:eastAsia="SimSun"/>
          <w:lang w:val="en-GB" w:bidi="ar-SA"/>
        </w:rPr>
        <w:t>of</w:t>
      </w:r>
      <w:r w:rsidR="00F546B3" w:rsidRPr="00844C55">
        <w:rPr>
          <w:rFonts w:eastAsia="SimSun"/>
          <w:lang w:val="en-GB" w:bidi="ar-SA"/>
        </w:rPr>
        <w:t xml:space="preserve"> his </w:t>
      </w:r>
      <w:r w:rsidR="00606FCB">
        <w:rPr>
          <w:rFonts w:eastAsia="SimSun"/>
          <w:lang w:val="en-GB" w:bidi="ar-SA"/>
        </w:rPr>
        <w:t xml:space="preserve">IPR </w:t>
      </w:r>
      <w:r w:rsidR="00F546B3" w:rsidRPr="00844C55">
        <w:rPr>
          <w:rFonts w:eastAsia="SimSun"/>
          <w:lang w:val="en-GB" w:bidi="ar-SA"/>
        </w:rPr>
        <w:t>to one or more none holders</w:t>
      </w:r>
      <w:r w:rsidR="00277677" w:rsidRPr="00277677">
        <w:rPr>
          <w:rFonts w:eastAsia="SimSun"/>
          <w:lang w:val="en-GB" w:bidi="ar-SA"/>
        </w:rPr>
        <w:t xml:space="preserve"> </w:t>
      </w:r>
      <w:r w:rsidR="00277677">
        <w:rPr>
          <w:rFonts w:eastAsia="SimSun" w:hint="eastAsia"/>
          <w:lang w:val="en-GB" w:bidi="ar-SA"/>
        </w:rPr>
        <w:t xml:space="preserve">and may </w:t>
      </w:r>
      <w:r w:rsidR="00277677">
        <w:rPr>
          <w:rFonts w:eastAsia="SimSun"/>
          <w:lang w:val="en-GB" w:bidi="ar-SA"/>
        </w:rPr>
        <w:t>p</w:t>
      </w:r>
      <w:r w:rsidR="00277677" w:rsidRPr="004E2C86">
        <w:rPr>
          <w:rFonts w:eastAsia="SimSun"/>
          <w:lang w:val="en-GB" w:bidi="ar-SA"/>
        </w:rPr>
        <w:t xml:space="preserve">rovide effective relief </w:t>
      </w:r>
      <w:r w:rsidR="00277677" w:rsidRPr="00844C55">
        <w:rPr>
          <w:rFonts w:eastAsia="SimSun"/>
          <w:lang w:val="en-GB" w:bidi="ar-SA"/>
        </w:rPr>
        <w:t>when the refusal of access is against competition policy</w:t>
      </w:r>
      <w:r w:rsidR="00F546B3" w:rsidRPr="00844C55">
        <w:rPr>
          <w:rFonts w:eastAsia="SimSun"/>
          <w:lang w:val="en-GB" w:bidi="ar-SA"/>
        </w:rPr>
        <w:t>.</w:t>
      </w:r>
      <w:r w:rsidR="00F546B3">
        <w:rPr>
          <w:rFonts w:eastAsia="SimSun" w:hint="eastAsia"/>
          <w:lang w:val="en-GB" w:bidi="ar-SA"/>
        </w:rPr>
        <w:t xml:space="preserve"> </w:t>
      </w:r>
      <w:r w:rsidR="00277677">
        <w:rPr>
          <w:rFonts w:eastAsia="SimSun" w:hint="eastAsia"/>
          <w:lang w:val="en-GB" w:bidi="ar-SA"/>
        </w:rPr>
        <w:t xml:space="preserve">It </w:t>
      </w:r>
      <w:r w:rsidR="00277677">
        <w:rPr>
          <w:rFonts w:eastAsia="SimSun"/>
          <w:lang w:val="en-GB" w:bidi="ar-SA"/>
        </w:rPr>
        <w:t>can be</w:t>
      </w:r>
      <w:r w:rsidR="00277677" w:rsidRPr="00844C55">
        <w:rPr>
          <w:rFonts w:eastAsia="SimSun"/>
          <w:lang w:val="en-GB" w:bidi="ar-SA"/>
        </w:rPr>
        <w:t xml:space="preserve"> adopted as a remedy in case </w:t>
      </w:r>
      <w:r w:rsidR="00606FCB">
        <w:rPr>
          <w:rFonts w:eastAsia="SimSun"/>
          <w:lang w:val="en-GB" w:bidi="ar-SA"/>
        </w:rPr>
        <w:t xml:space="preserve">IPRs </w:t>
      </w:r>
      <w:r w:rsidR="00277677" w:rsidRPr="00844C55">
        <w:rPr>
          <w:rFonts w:eastAsia="SimSun"/>
          <w:lang w:val="en-GB" w:bidi="ar-SA"/>
        </w:rPr>
        <w:t xml:space="preserve">are used to charge excessive prices, </w:t>
      </w:r>
      <w:r w:rsidR="00277677">
        <w:rPr>
          <w:rFonts w:eastAsia="SimSun"/>
          <w:lang w:val="en-GB" w:bidi="ar-SA"/>
        </w:rPr>
        <w:t xml:space="preserve">to </w:t>
      </w:r>
      <w:r w:rsidR="00277677" w:rsidRPr="00844C55">
        <w:rPr>
          <w:rFonts w:eastAsia="SimSun"/>
          <w:lang w:val="en-GB" w:bidi="ar-SA"/>
        </w:rPr>
        <w:t xml:space="preserve">unjustifiably forbid access to protected technologies or </w:t>
      </w:r>
      <w:r w:rsidR="00277677">
        <w:rPr>
          <w:rFonts w:eastAsia="SimSun"/>
          <w:lang w:val="en-GB" w:bidi="ar-SA"/>
        </w:rPr>
        <w:t xml:space="preserve">to </w:t>
      </w:r>
      <w:r w:rsidR="00277677" w:rsidRPr="00844C55">
        <w:rPr>
          <w:rFonts w:eastAsia="SimSun"/>
          <w:lang w:val="en-GB" w:bidi="ar-SA"/>
        </w:rPr>
        <w:t>strengthen monopoly power through mergers</w:t>
      </w:r>
      <w:r w:rsidR="00495912">
        <w:rPr>
          <w:rFonts w:eastAsia="SimSun"/>
          <w:lang w:val="en-GB" w:bidi="ar-SA"/>
        </w:rPr>
        <w:t xml:space="preserve">. But its interruption on </w:t>
      </w:r>
      <w:r w:rsidR="001140F0">
        <w:rPr>
          <w:rFonts w:eastAsia="SimSun"/>
          <w:lang w:val="en-GB" w:bidi="ar-SA"/>
        </w:rPr>
        <w:t xml:space="preserve">the exercise of </w:t>
      </w:r>
      <w:r w:rsidR="00606FCB">
        <w:rPr>
          <w:rFonts w:eastAsia="SimSun"/>
          <w:lang w:val="en-GB" w:bidi="ar-SA"/>
        </w:rPr>
        <w:t xml:space="preserve">IPRs </w:t>
      </w:r>
      <w:r w:rsidR="00495912">
        <w:rPr>
          <w:rFonts w:eastAsia="SimSun"/>
          <w:lang w:val="en-GB" w:bidi="ar-SA"/>
        </w:rPr>
        <w:t xml:space="preserve">should be confined to necessary and least intrusive level insofar as </w:t>
      </w:r>
      <w:r w:rsidR="0002357E" w:rsidRPr="00CE10CF">
        <w:rPr>
          <w:rFonts w:ascii="TimesNewRoman" w:hAnsi="TimesNewRoman" w:cs="TimesNewRoman"/>
          <w:szCs w:val="24"/>
          <w:lang w:val="en-GB" w:bidi="ar-SA"/>
        </w:rPr>
        <w:t xml:space="preserve">an </w:t>
      </w:r>
      <w:r w:rsidR="0002357E" w:rsidRPr="00CE10CF">
        <w:rPr>
          <w:rFonts w:eastAsia="SimSun"/>
          <w:lang w:val="en-GB" w:bidi="ar-SA"/>
        </w:rPr>
        <w:t>improperly</w:t>
      </w:r>
      <w:r w:rsidR="0002357E" w:rsidRPr="00CE10CF">
        <w:rPr>
          <w:rFonts w:ascii="TimesNewRoman" w:hAnsi="TimesNewRoman" w:cs="TimesNewRoman"/>
          <w:szCs w:val="24"/>
          <w:lang w:val="en-GB" w:bidi="ar-SA"/>
        </w:rPr>
        <w:t>-</w:t>
      </w:r>
      <w:r w:rsidR="0002357E" w:rsidRPr="00CE10CF">
        <w:rPr>
          <w:rFonts w:eastAsia="SimSun"/>
          <w:lang w:val="en-GB" w:bidi="ar-SA"/>
        </w:rPr>
        <w:t>designed</w:t>
      </w:r>
      <w:r w:rsidR="00ED3B72" w:rsidRPr="00CE10CF">
        <w:rPr>
          <w:rFonts w:ascii="TimesNewRoman" w:hAnsi="TimesNewRoman" w:cs="TimesNewRoman"/>
          <w:szCs w:val="24"/>
          <w:lang w:val="en-GB" w:bidi="ar-SA"/>
        </w:rPr>
        <w:t xml:space="preserve"> compulsory license </w:t>
      </w:r>
      <w:r w:rsidR="00ED3B72" w:rsidRPr="00CE10CF">
        <w:rPr>
          <w:rFonts w:ascii="TimesNewRoman" w:eastAsia="SimSun" w:hAnsi="TimesNewRoman" w:cs="TimesNewRoman"/>
          <w:szCs w:val="24"/>
          <w:lang w:val="en-GB" w:bidi="ar-SA"/>
        </w:rPr>
        <w:t>may have negative impact on</w:t>
      </w:r>
      <w:r w:rsidR="0002357E" w:rsidRPr="00CE10CF">
        <w:rPr>
          <w:rFonts w:ascii="TimesNewRoman" w:hAnsi="TimesNewRoman" w:cs="TimesNewRoman"/>
          <w:szCs w:val="24"/>
          <w:lang w:val="en-GB" w:bidi="ar-SA"/>
        </w:rPr>
        <w:t xml:space="preserve"> innovation, resulting in a decrease of incentive </w:t>
      </w:r>
      <w:r w:rsidR="0002357E" w:rsidRPr="00CE10CF">
        <w:rPr>
          <w:rFonts w:ascii="TimesNewRoman" w:eastAsia="SimSun" w:hAnsi="TimesNewRoman" w:cs="TimesNewRoman"/>
          <w:szCs w:val="24"/>
          <w:lang w:val="en-GB" w:bidi="ar-SA"/>
        </w:rPr>
        <w:t>to invest in the technologies or products</w:t>
      </w:r>
      <w:r w:rsidR="0002357E" w:rsidRPr="00CE10CF">
        <w:rPr>
          <w:rFonts w:ascii="TimesNewRoman" w:hAnsi="TimesNewRoman" w:cs="TimesNewRoman"/>
          <w:szCs w:val="24"/>
          <w:lang w:val="en-GB" w:bidi="ar-SA"/>
        </w:rPr>
        <w:t xml:space="preserve"> </w:t>
      </w:r>
      <w:r w:rsidR="00CE10CF">
        <w:rPr>
          <w:rFonts w:ascii="TimesNewRoman" w:hAnsi="TimesNewRoman" w:cs="TimesNewRoman"/>
          <w:szCs w:val="24"/>
          <w:lang w:val="en-GB" w:bidi="ar-SA"/>
        </w:rPr>
        <w:t>under</w:t>
      </w:r>
      <w:r w:rsidR="0002357E" w:rsidRPr="00CE10CF">
        <w:rPr>
          <w:rFonts w:ascii="TimesNewRoman" w:hAnsi="TimesNewRoman" w:cs="TimesNewRoman"/>
          <w:szCs w:val="24"/>
          <w:lang w:val="en-GB" w:bidi="ar-SA"/>
        </w:rPr>
        <w:t xml:space="preserve"> compulsory licensing.</w:t>
      </w:r>
      <w:r w:rsidR="0002357E" w:rsidRPr="00844C55">
        <w:rPr>
          <w:rFonts w:ascii="TimesNewRoman" w:hAnsi="TimesNewRoman" w:cs="TimesNewRoman"/>
          <w:szCs w:val="24"/>
          <w:lang w:val="en-GB" w:bidi="ar-SA"/>
        </w:rPr>
        <w:t xml:space="preserve"> </w:t>
      </w:r>
    </w:p>
    <w:p w:rsidR="000C2416" w:rsidRPr="00844C55" w:rsidRDefault="00E95933" w:rsidP="000438CB">
      <w:pPr>
        <w:rPr>
          <w:rFonts w:eastAsia="SimSun"/>
          <w:lang w:val="en-GB" w:bidi="ar-SA"/>
        </w:rPr>
      </w:pPr>
      <w:r>
        <w:rPr>
          <w:rFonts w:eastAsia="SimSun"/>
          <w:lang w:val="en-GB" w:bidi="ar-SA"/>
        </w:rPr>
        <w:t xml:space="preserve">The </w:t>
      </w:r>
      <w:r w:rsidRPr="00844C55">
        <w:rPr>
          <w:rFonts w:eastAsia="SimSun"/>
          <w:lang w:val="en-GB" w:bidi="ar-SA"/>
        </w:rPr>
        <w:t xml:space="preserve">origination </w:t>
      </w:r>
      <w:r>
        <w:rPr>
          <w:rFonts w:eastAsia="SimSun"/>
          <w:lang w:val="en-GB" w:bidi="ar-SA"/>
        </w:rPr>
        <w:t>of c</w:t>
      </w:r>
      <w:r w:rsidR="00702961" w:rsidRPr="00844C55">
        <w:rPr>
          <w:lang w:val="en-GB" w:bidi="ar-SA"/>
        </w:rPr>
        <w:t>ompulsory licens</w:t>
      </w:r>
      <w:r w:rsidR="00702961" w:rsidRPr="00844C55">
        <w:rPr>
          <w:rFonts w:eastAsia="SimSun"/>
          <w:lang w:val="en-GB" w:bidi="ar-SA"/>
        </w:rPr>
        <w:t>ing</w:t>
      </w:r>
      <w:r w:rsidR="008C5EDE" w:rsidRPr="00844C55">
        <w:rPr>
          <w:rFonts w:eastAsia="SimSun"/>
          <w:lang w:val="en-GB" w:bidi="ar-SA"/>
        </w:rPr>
        <w:t xml:space="preserve"> can be traced back to historical requirement that a patent holder must ‘locally work’ a patented product or process</w:t>
      </w:r>
      <w:r w:rsidR="004E2C86">
        <w:rPr>
          <w:rFonts w:eastAsia="SimSun"/>
          <w:lang w:val="en-GB" w:bidi="ar-SA"/>
        </w:rPr>
        <w:t xml:space="preserve"> </w:t>
      </w:r>
      <w:r w:rsidR="004E2C86" w:rsidRPr="004E2C86">
        <w:rPr>
          <w:rFonts w:eastAsia="SimSun"/>
          <w:lang w:val="en-GB" w:bidi="ar-SA"/>
        </w:rPr>
        <w:t>in the patent granting country</w:t>
      </w:r>
      <w:r w:rsidR="008C5EDE" w:rsidRPr="00844C55">
        <w:rPr>
          <w:rFonts w:eastAsia="SimSun"/>
          <w:lang w:val="en-GB" w:bidi="ar-SA"/>
        </w:rPr>
        <w:t>.</w:t>
      </w:r>
      <w:r w:rsidR="004E2C86">
        <w:rPr>
          <w:rStyle w:val="FootnoteReference"/>
          <w:rFonts w:eastAsia="SimSun"/>
          <w:lang w:val="en-GB" w:bidi="ar-SA"/>
        </w:rPr>
        <w:footnoteReference w:id="12"/>
      </w:r>
      <w:r w:rsidR="008C5EDE" w:rsidRPr="00844C55">
        <w:rPr>
          <w:rFonts w:eastAsia="SimSun"/>
          <w:lang w:val="en-GB" w:bidi="ar-SA"/>
        </w:rPr>
        <w:t xml:space="preserve"> </w:t>
      </w:r>
      <w:r w:rsidR="00110D02" w:rsidRPr="00844C55">
        <w:rPr>
          <w:rFonts w:eastAsia="SimSun"/>
          <w:lang w:val="en-GB" w:bidi="ar-SA"/>
        </w:rPr>
        <w:t>Later, c</w:t>
      </w:r>
      <w:r w:rsidR="008C5EDE" w:rsidRPr="00844C55">
        <w:rPr>
          <w:rFonts w:cs="Times New Roman"/>
          <w:szCs w:val="24"/>
          <w:lang w:val="en-GB" w:bidi="ar-SA"/>
        </w:rPr>
        <w:t xml:space="preserve">ompulsory licences were gradually </w:t>
      </w:r>
      <w:r w:rsidR="00110D02" w:rsidRPr="00844C55">
        <w:rPr>
          <w:rFonts w:ascii="TimesNewRoman" w:eastAsia="SimSun" w:hAnsi="TimesNewRoman" w:cs="TimesNewRoman"/>
          <w:szCs w:val="24"/>
          <w:lang w:val="en-GB" w:bidi="ar-SA"/>
        </w:rPr>
        <w:t xml:space="preserve">adopted </w:t>
      </w:r>
      <w:r w:rsidR="00981F84" w:rsidRPr="00844C55">
        <w:rPr>
          <w:rFonts w:ascii="TimesNewRoman" w:eastAsia="SimSun" w:hAnsi="TimesNewRoman" w:cs="TimesNewRoman"/>
          <w:szCs w:val="24"/>
          <w:lang w:val="en-GB" w:bidi="ar-SA"/>
        </w:rPr>
        <w:t>under other exceptional</w:t>
      </w:r>
      <w:r w:rsidR="00981F84" w:rsidRPr="00844C55">
        <w:rPr>
          <w:rFonts w:eastAsia="SimSun" w:cs="Times New Roman"/>
          <w:szCs w:val="24"/>
          <w:lang w:val="en-GB" w:bidi="ar-SA"/>
        </w:rPr>
        <w:t xml:space="preserve"> </w:t>
      </w:r>
      <w:r w:rsidR="00981F84" w:rsidRPr="00844C55">
        <w:rPr>
          <w:rFonts w:cs="Times New Roman"/>
          <w:szCs w:val="24"/>
          <w:lang w:val="en-GB" w:bidi="ar-SA"/>
        </w:rPr>
        <w:t>circumstan</w:t>
      </w:r>
      <w:r w:rsidR="00981F84" w:rsidRPr="00844C55">
        <w:rPr>
          <w:rFonts w:eastAsia="SimSun" w:cs="Times New Roman"/>
          <w:szCs w:val="24"/>
          <w:lang w:val="en-GB" w:bidi="ar-SA"/>
        </w:rPr>
        <w:t>ces</w:t>
      </w:r>
      <w:r w:rsidR="008C5EDE" w:rsidRPr="00844C55">
        <w:rPr>
          <w:rFonts w:eastAsia="SimSun" w:cs="Times New Roman"/>
          <w:szCs w:val="24"/>
          <w:lang w:val="en-GB" w:bidi="ar-SA"/>
        </w:rPr>
        <w:t xml:space="preserve">, </w:t>
      </w:r>
      <w:r w:rsidR="00981F84" w:rsidRPr="00844C55">
        <w:rPr>
          <w:rFonts w:cs="Times New Roman"/>
          <w:szCs w:val="24"/>
          <w:lang w:val="en-GB" w:bidi="ar-SA"/>
        </w:rPr>
        <w:t>such as emergency, public interest, dependent</w:t>
      </w:r>
      <w:r w:rsidR="00981F84" w:rsidRPr="00844C55">
        <w:rPr>
          <w:rFonts w:eastAsia="SimSun" w:cs="Times New Roman"/>
          <w:sz w:val="16"/>
          <w:szCs w:val="16"/>
          <w:lang w:val="en-GB" w:bidi="ar-SA"/>
        </w:rPr>
        <w:t xml:space="preserve"> </w:t>
      </w:r>
      <w:r w:rsidR="00981F84" w:rsidRPr="00844C55">
        <w:rPr>
          <w:rFonts w:cs="Times New Roman"/>
          <w:szCs w:val="24"/>
          <w:lang w:val="en-GB" w:bidi="ar-SA"/>
        </w:rPr>
        <w:t>patents, or</w:t>
      </w:r>
      <w:r w:rsidR="00981F84" w:rsidRPr="00844C55">
        <w:rPr>
          <w:rFonts w:eastAsia="SimSun" w:cs="Times New Roman"/>
          <w:szCs w:val="24"/>
          <w:lang w:val="en-GB" w:bidi="ar-SA"/>
        </w:rPr>
        <w:t xml:space="preserve"> </w:t>
      </w:r>
      <w:r w:rsidR="00981F84" w:rsidRPr="00844C55">
        <w:rPr>
          <w:rFonts w:cs="Times New Roman"/>
          <w:szCs w:val="24"/>
          <w:lang w:val="en-GB" w:bidi="ar-SA"/>
        </w:rPr>
        <w:t>anti-competitive practices</w:t>
      </w:r>
      <w:r w:rsidR="008C5EDE" w:rsidRPr="00844C55">
        <w:rPr>
          <w:rFonts w:cs="Times New Roman"/>
          <w:szCs w:val="24"/>
          <w:lang w:val="en-GB" w:bidi="ar-SA"/>
        </w:rPr>
        <w:t>.</w:t>
      </w:r>
      <w:r w:rsidR="008C5EDE" w:rsidRPr="00844C55">
        <w:rPr>
          <w:rFonts w:eastAsia="SimSun" w:cs="Times New Roman"/>
          <w:szCs w:val="24"/>
          <w:lang w:val="en-GB" w:bidi="ar-SA"/>
        </w:rPr>
        <w:t xml:space="preserve"> Nowadays, </w:t>
      </w:r>
      <w:r w:rsidR="00110D02" w:rsidRPr="00844C55">
        <w:rPr>
          <w:rFonts w:eastAsia="SimSun" w:cs="Times New Roman"/>
          <w:szCs w:val="24"/>
          <w:lang w:val="en-GB" w:bidi="ar-SA"/>
        </w:rPr>
        <w:t xml:space="preserve">IP policies at both </w:t>
      </w:r>
      <w:r w:rsidR="008C5EDE" w:rsidRPr="00844C55">
        <w:rPr>
          <w:rFonts w:eastAsia="SimSun" w:cs="Times New Roman"/>
          <w:szCs w:val="24"/>
          <w:lang w:val="en-GB" w:bidi="ar-SA"/>
        </w:rPr>
        <w:t>i</w:t>
      </w:r>
      <w:r w:rsidR="00671E2C" w:rsidRPr="00844C55">
        <w:rPr>
          <w:rFonts w:eastAsia="SimSun"/>
          <w:lang w:val="en-GB" w:bidi="ar-SA"/>
        </w:rPr>
        <w:t xml:space="preserve">nternational </w:t>
      </w:r>
      <w:r w:rsidR="008C5EDE" w:rsidRPr="00844C55">
        <w:rPr>
          <w:rFonts w:eastAsia="SimSun"/>
          <w:lang w:val="en-GB" w:bidi="ar-SA"/>
        </w:rPr>
        <w:t xml:space="preserve">and national </w:t>
      </w:r>
      <w:r w:rsidR="00110D02" w:rsidRPr="00844C55">
        <w:rPr>
          <w:rFonts w:eastAsia="SimSun"/>
          <w:lang w:val="en-GB" w:bidi="ar-SA"/>
        </w:rPr>
        <w:t xml:space="preserve">levels </w:t>
      </w:r>
      <w:r w:rsidR="00671E2C" w:rsidRPr="00844C55">
        <w:rPr>
          <w:rFonts w:eastAsia="SimSun"/>
          <w:lang w:val="en-GB" w:bidi="ar-SA"/>
        </w:rPr>
        <w:t xml:space="preserve">bear the provisions of </w:t>
      </w:r>
      <w:r w:rsidR="008C5EDE" w:rsidRPr="00844C55">
        <w:rPr>
          <w:rFonts w:eastAsia="SimSun"/>
          <w:lang w:val="en-GB" w:bidi="ar-SA"/>
        </w:rPr>
        <w:t xml:space="preserve">using </w:t>
      </w:r>
      <w:r w:rsidR="00671E2C" w:rsidRPr="00844C55">
        <w:rPr>
          <w:rFonts w:eastAsia="SimSun"/>
          <w:lang w:val="en-GB" w:bidi="ar-SA"/>
        </w:rPr>
        <w:t>compulsory licensing</w:t>
      </w:r>
      <w:r w:rsidR="008C5EDE" w:rsidRPr="00844C55">
        <w:rPr>
          <w:rFonts w:eastAsia="SimSun"/>
          <w:lang w:val="en-GB" w:bidi="ar-SA"/>
        </w:rPr>
        <w:t xml:space="preserve"> to correct </w:t>
      </w:r>
      <w:r w:rsidR="00FB32E5">
        <w:rPr>
          <w:rFonts w:eastAsia="SimSun" w:hint="eastAsia"/>
          <w:lang w:val="en-GB" w:bidi="ar-SA"/>
        </w:rPr>
        <w:t>misconduct</w:t>
      </w:r>
      <w:r w:rsidR="00981F84" w:rsidRPr="00844C55">
        <w:rPr>
          <w:rFonts w:eastAsia="SimSun"/>
          <w:lang w:val="en-GB" w:bidi="ar-SA"/>
        </w:rPr>
        <w:t xml:space="preserve"> of </w:t>
      </w:r>
      <w:r w:rsidR="008C5EDE" w:rsidRPr="00844C55">
        <w:rPr>
          <w:rFonts w:eastAsia="SimSun"/>
          <w:lang w:val="en-GB" w:bidi="ar-SA"/>
        </w:rPr>
        <w:t xml:space="preserve">IP </w:t>
      </w:r>
      <w:r w:rsidR="00981F84" w:rsidRPr="00844C55">
        <w:rPr>
          <w:rFonts w:eastAsia="SimSun"/>
          <w:lang w:val="en-GB" w:bidi="ar-SA"/>
        </w:rPr>
        <w:t>holders</w:t>
      </w:r>
      <w:r w:rsidR="00671E2C" w:rsidRPr="00844C55">
        <w:rPr>
          <w:rFonts w:eastAsia="SimSun"/>
          <w:lang w:val="en-GB" w:bidi="ar-SA"/>
        </w:rPr>
        <w:t xml:space="preserve">. </w:t>
      </w:r>
      <w:r w:rsidR="009648EE" w:rsidRPr="00844C55">
        <w:rPr>
          <w:rFonts w:eastAsia="SimSun"/>
          <w:lang w:val="en-GB" w:bidi="ar-SA"/>
        </w:rPr>
        <w:t>Paris Convention</w:t>
      </w:r>
      <w:r w:rsidR="000C2416" w:rsidRPr="00844C55">
        <w:rPr>
          <w:rFonts w:eastAsia="SimSun"/>
          <w:lang w:val="en-GB" w:bidi="ar-SA"/>
        </w:rPr>
        <w:t xml:space="preserve"> of 1883</w:t>
      </w:r>
      <w:r w:rsidR="009648EE" w:rsidRPr="00844C55">
        <w:rPr>
          <w:rFonts w:eastAsia="SimSun"/>
          <w:lang w:val="en-GB" w:bidi="ar-SA"/>
        </w:rPr>
        <w:t xml:space="preserve"> has recognised </w:t>
      </w:r>
      <w:r w:rsidR="000C2416" w:rsidRPr="00844C55">
        <w:rPr>
          <w:rFonts w:eastAsia="SimSun"/>
          <w:lang w:val="en-GB" w:bidi="ar-SA"/>
        </w:rPr>
        <w:t xml:space="preserve">compulsory licences for a very long time. Article 5A of Paris Convention provides that each member country </w:t>
      </w:r>
      <w:r w:rsidR="009648EE" w:rsidRPr="00844C55">
        <w:rPr>
          <w:rFonts w:eastAsia="SimSun"/>
          <w:lang w:val="en-GB" w:bidi="ar-SA"/>
        </w:rPr>
        <w:t>“</w:t>
      </w:r>
      <w:r w:rsidR="000C2416" w:rsidRPr="00844C55">
        <w:rPr>
          <w:rFonts w:eastAsia="SimSun"/>
          <w:lang w:val="en-GB" w:bidi="ar-SA"/>
        </w:rPr>
        <w:t xml:space="preserve">should have the </w:t>
      </w:r>
      <w:r w:rsidR="009648EE" w:rsidRPr="00844C55">
        <w:rPr>
          <w:rFonts w:eastAsia="SimSun"/>
          <w:lang w:val="en-GB" w:bidi="ar-SA"/>
        </w:rPr>
        <w:t xml:space="preserve">right to take legislative measures providing for the grant of compulsory licenses to prevent the abuses which might result from the exercise of the exclusive rights conferred by the patent.” </w:t>
      </w:r>
      <w:r w:rsidR="000438CB" w:rsidRPr="00844C55">
        <w:rPr>
          <w:rFonts w:eastAsia="SimSun"/>
          <w:lang w:val="en-GB" w:bidi="ar-SA"/>
        </w:rPr>
        <w:t xml:space="preserve">TRIPS Agreement allows the members to adopt appropriate measures to prevent the abuse of </w:t>
      </w:r>
      <w:r w:rsidR="00606FCB">
        <w:rPr>
          <w:rFonts w:eastAsia="SimSun" w:hint="eastAsia"/>
          <w:lang w:val="en-GB" w:bidi="ar-SA"/>
        </w:rPr>
        <w:t xml:space="preserve">IPRs </w:t>
      </w:r>
      <w:r w:rsidR="000438CB" w:rsidRPr="00844C55">
        <w:rPr>
          <w:rFonts w:eastAsia="SimSun"/>
          <w:lang w:val="en-GB" w:bidi="ar-SA"/>
        </w:rPr>
        <w:t xml:space="preserve">by right holders or the resort to practices which unreasonably restrain trade or adversely affect the international </w:t>
      </w:r>
      <w:r w:rsidR="000438CB" w:rsidRPr="00844C55">
        <w:rPr>
          <w:rFonts w:eastAsia="SimSun"/>
          <w:lang w:val="en-GB" w:bidi="ar-SA"/>
        </w:rPr>
        <w:lastRenderedPageBreak/>
        <w:t>transfer of technology.</w:t>
      </w:r>
      <w:r w:rsidR="000438CB" w:rsidRPr="00844C55">
        <w:rPr>
          <w:rStyle w:val="FootnoteReference"/>
          <w:rFonts w:eastAsia="SimSun" w:cs="Times New Roman"/>
          <w:szCs w:val="24"/>
          <w:lang w:val="en-GB" w:bidi="ar-SA"/>
        </w:rPr>
        <w:footnoteReference w:id="13"/>
      </w:r>
      <w:r w:rsidR="000438CB" w:rsidRPr="00844C55">
        <w:rPr>
          <w:rFonts w:eastAsia="SimSun"/>
          <w:lang w:val="en-GB" w:bidi="ar-SA"/>
        </w:rPr>
        <w:t xml:space="preserve"> Article 31</w:t>
      </w:r>
      <w:r w:rsidR="000C2416" w:rsidRPr="00844C55">
        <w:rPr>
          <w:rFonts w:eastAsia="SimSun"/>
          <w:lang w:val="en-GB" w:bidi="ar-SA"/>
        </w:rPr>
        <w:t>of the TRIPS Agreement</w:t>
      </w:r>
      <w:r w:rsidR="000438CB" w:rsidRPr="00844C55">
        <w:rPr>
          <w:rFonts w:eastAsia="SimSun"/>
          <w:lang w:val="en-GB" w:bidi="ar-SA"/>
        </w:rPr>
        <w:t xml:space="preserve"> </w:t>
      </w:r>
      <w:r w:rsidR="00BB37CB" w:rsidRPr="00844C55">
        <w:rPr>
          <w:rFonts w:eastAsia="SimSun"/>
          <w:lang w:val="en-GB" w:bidi="ar-SA"/>
        </w:rPr>
        <w:t xml:space="preserve">indicates that anti-competitive practise by </w:t>
      </w:r>
      <w:r w:rsidR="00D8492E">
        <w:rPr>
          <w:rFonts w:eastAsia="SimSun"/>
          <w:lang w:val="en-GB" w:bidi="ar-SA"/>
        </w:rPr>
        <w:t xml:space="preserve">IPR holders </w:t>
      </w:r>
      <w:r w:rsidR="00BB37CB" w:rsidRPr="00844C55">
        <w:rPr>
          <w:rFonts w:eastAsia="SimSun"/>
          <w:lang w:val="en-GB" w:bidi="ar-SA"/>
        </w:rPr>
        <w:t xml:space="preserve">can be considered </w:t>
      </w:r>
      <w:r w:rsidR="00745A0A" w:rsidRPr="00844C55">
        <w:rPr>
          <w:rFonts w:eastAsia="SimSun"/>
          <w:lang w:val="en-GB" w:bidi="ar-SA"/>
        </w:rPr>
        <w:t xml:space="preserve">as a </w:t>
      </w:r>
      <w:r w:rsidR="00BB37CB" w:rsidRPr="00844C55">
        <w:rPr>
          <w:rFonts w:eastAsia="SimSun"/>
          <w:lang w:val="en-GB" w:bidi="ar-SA"/>
        </w:rPr>
        <w:t xml:space="preserve">ground for granting a compulsory licence, and </w:t>
      </w:r>
      <w:r w:rsidR="000438CB" w:rsidRPr="00844C55">
        <w:rPr>
          <w:rFonts w:eastAsia="SimSun"/>
          <w:lang w:val="en-GB" w:bidi="ar-SA"/>
        </w:rPr>
        <w:t>lists the</w:t>
      </w:r>
      <w:r w:rsidR="000C2416" w:rsidRPr="00844C55">
        <w:rPr>
          <w:rFonts w:eastAsia="SimSun"/>
          <w:lang w:val="en-GB" w:bidi="ar-SA"/>
        </w:rPr>
        <w:t xml:space="preserve"> </w:t>
      </w:r>
      <w:r w:rsidR="000438CB" w:rsidRPr="00844C55">
        <w:rPr>
          <w:lang w:val="en-GB" w:bidi="ar-SA"/>
        </w:rPr>
        <w:t xml:space="preserve">conditions and procedures that have </w:t>
      </w:r>
      <w:r w:rsidR="000438CB" w:rsidRPr="007C0A46">
        <w:rPr>
          <w:lang w:val="en-GB" w:bidi="ar-SA"/>
        </w:rPr>
        <w:t>to</w:t>
      </w:r>
      <w:r w:rsidR="000438CB" w:rsidRPr="007C0A46">
        <w:rPr>
          <w:rFonts w:eastAsia="SimSun"/>
          <w:lang w:val="en-GB" w:bidi="ar-SA"/>
        </w:rPr>
        <w:t xml:space="preserve"> </w:t>
      </w:r>
      <w:r w:rsidR="000438CB" w:rsidRPr="007C0A46">
        <w:rPr>
          <w:lang w:val="en-GB" w:bidi="ar-SA"/>
        </w:rPr>
        <w:t xml:space="preserve">be respected when </w:t>
      </w:r>
      <w:r w:rsidR="000438CB" w:rsidRPr="007C0A46">
        <w:rPr>
          <w:rFonts w:eastAsia="SimSun"/>
          <w:lang w:val="en-GB" w:bidi="ar-SA"/>
        </w:rPr>
        <w:t>granting compulsory licences</w:t>
      </w:r>
      <w:r w:rsidR="000438CB" w:rsidRPr="007C0A46">
        <w:rPr>
          <w:lang w:val="en-GB" w:bidi="ar-SA"/>
        </w:rPr>
        <w:t>.</w:t>
      </w:r>
      <w:r w:rsidR="000438CB" w:rsidRPr="007C0A46">
        <w:rPr>
          <w:rFonts w:eastAsia="SimSun"/>
          <w:lang w:val="en-GB" w:bidi="ar-SA"/>
        </w:rPr>
        <w:t xml:space="preserve"> </w:t>
      </w:r>
      <w:r w:rsidR="007C0A46">
        <w:rPr>
          <w:rFonts w:eastAsia="SimSun"/>
          <w:lang w:val="en-GB" w:bidi="ar-SA"/>
        </w:rPr>
        <w:t>Co</w:t>
      </w:r>
      <w:r w:rsidR="00B00706" w:rsidRPr="007C0A46">
        <w:rPr>
          <w:rFonts w:eastAsia="SimSun"/>
          <w:lang w:val="en-GB" w:bidi="ar-SA"/>
        </w:rPr>
        <w:t xml:space="preserve">mpulsory licensing </w:t>
      </w:r>
      <w:r w:rsidR="007C0A46">
        <w:rPr>
          <w:rFonts w:eastAsia="SimSun"/>
          <w:lang w:val="en-GB" w:bidi="ar-SA"/>
        </w:rPr>
        <w:t xml:space="preserve">has also been employed </w:t>
      </w:r>
      <w:r w:rsidR="00B00706" w:rsidRPr="007C0A46">
        <w:rPr>
          <w:rFonts w:eastAsia="SimSun"/>
          <w:lang w:val="en-GB" w:bidi="ar-SA"/>
        </w:rPr>
        <w:t>as a remedy for anti-competitive activities</w:t>
      </w:r>
      <w:r w:rsidR="00086146">
        <w:rPr>
          <w:rFonts w:eastAsia="SimSun"/>
          <w:lang w:val="en-GB" w:bidi="ar-SA"/>
        </w:rPr>
        <w:t xml:space="preserve"> by many competition authorities, such as the Commission</w:t>
      </w:r>
      <w:r w:rsidR="00B00706" w:rsidRPr="007C0A46">
        <w:rPr>
          <w:rFonts w:eastAsia="SimSun"/>
          <w:lang w:val="en-GB" w:bidi="ar-SA"/>
        </w:rPr>
        <w:t>.</w:t>
      </w:r>
      <w:r w:rsidR="00B00706" w:rsidRPr="00844C55">
        <w:rPr>
          <w:rFonts w:eastAsia="SimSun"/>
          <w:lang w:val="en-GB" w:bidi="ar-SA"/>
        </w:rPr>
        <w:t xml:space="preserve"> </w:t>
      </w:r>
    </w:p>
    <w:p w:rsidR="003D7EF9" w:rsidRPr="00844C55" w:rsidRDefault="003D7EF9" w:rsidP="00086146">
      <w:pPr>
        <w:pStyle w:val="Heading2"/>
        <w:rPr>
          <w:lang w:val="en-GB" w:bidi="ar-SA"/>
        </w:rPr>
      </w:pPr>
      <w:r w:rsidRPr="00844C55">
        <w:rPr>
          <w:lang w:val="en-GB" w:bidi="ar-SA"/>
        </w:rPr>
        <w:t>Trademark</w:t>
      </w:r>
    </w:p>
    <w:p w:rsidR="003A31EA" w:rsidRPr="00844C55" w:rsidRDefault="003A31EA" w:rsidP="003A31EA">
      <w:pPr>
        <w:rPr>
          <w:rFonts w:eastAsia="SimSun"/>
          <w:lang w:val="en-GB" w:bidi="ar-SA"/>
        </w:rPr>
      </w:pPr>
      <w:r w:rsidRPr="00844C55">
        <w:rPr>
          <w:lang w:val="en-GB" w:bidi="ar-SA"/>
        </w:rPr>
        <w:t>The inter</w:t>
      </w:r>
      <w:r w:rsidR="002E4199" w:rsidRPr="00844C55">
        <w:rPr>
          <w:rFonts w:eastAsia="SimSun"/>
          <w:lang w:val="en-GB" w:bidi="ar-SA"/>
        </w:rPr>
        <w:t>face</w:t>
      </w:r>
      <w:r w:rsidR="002E4199" w:rsidRPr="00844C55">
        <w:rPr>
          <w:lang w:val="en-GB" w:bidi="ar-SA"/>
        </w:rPr>
        <w:t xml:space="preserve"> of </w:t>
      </w:r>
      <w:r w:rsidR="00606FCB">
        <w:rPr>
          <w:lang w:val="en-GB" w:bidi="ar-SA"/>
        </w:rPr>
        <w:t xml:space="preserve">IPRs </w:t>
      </w:r>
      <w:r w:rsidR="002E4199" w:rsidRPr="00844C55">
        <w:rPr>
          <w:lang w:val="en-GB" w:bidi="ar-SA"/>
        </w:rPr>
        <w:t xml:space="preserve">and </w:t>
      </w:r>
      <w:r w:rsidR="002E4199" w:rsidRPr="00844C55">
        <w:rPr>
          <w:rFonts w:eastAsia="SimSun"/>
          <w:lang w:val="en-GB" w:bidi="ar-SA"/>
        </w:rPr>
        <w:t>competition law</w:t>
      </w:r>
      <w:r w:rsidR="00F25D92" w:rsidRPr="00844C55">
        <w:rPr>
          <w:rFonts w:eastAsia="SimSun"/>
          <w:lang w:val="en-GB" w:bidi="ar-SA"/>
        </w:rPr>
        <w:t>, in particular, with regards to the access to IP rights,</w:t>
      </w:r>
      <w:r w:rsidR="00957DEE" w:rsidRPr="00844C55">
        <w:rPr>
          <w:lang w:val="en-GB" w:bidi="ar-SA"/>
        </w:rPr>
        <w:t xml:space="preserve"> are often examined</w:t>
      </w:r>
      <w:r w:rsidR="00957DEE" w:rsidRPr="00844C55">
        <w:rPr>
          <w:rFonts w:eastAsia="SimSun"/>
          <w:lang w:val="en-GB" w:bidi="ar-SA"/>
        </w:rPr>
        <w:t xml:space="preserve"> </w:t>
      </w:r>
      <w:r w:rsidRPr="00844C55">
        <w:rPr>
          <w:lang w:val="en-GB" w:bidi="ar-SA"/>
        </w:rPr>
        <w:t>from the perspectives of patents and copyrights, with much less attention to trademarks.</w:t>
      </w:r>
      <w:r w:rsidRPr="00844C55">
        <w:rPr>
          <w:rStyle w:val="FootnoteReference"/>
          <w:lang w:val="en-GB" w:bidi="ar-SA"/>
        </w:rPr>
        <w:footnoteReference w:id="14"/>
      </w:r>
      <w:r w:rsidRPr="00844C55">
        <w:rPr>
          <w:lang w:val="en-GB" w:bidi="ar-SA"/>
        </w:rPr>
        <w:t xml:space="preserve"> </w:t>
      </w:r>
      <w:r w:rsidRPr="00844C55">
        <w:rPr>
          <w:rFonts w:eastAsia="SimSun"/>
          <w:lang w:val="en-GB" w:bidi="ar-SA"/>
        </w:rPr>
        <w:t>The main reason might be that t</w:t>
      </w:r>
      <w:r w:rsidRPr="00844C55">
        <w:rPr>
          <w:lang w:val="en-GB" w:bidi="ar-SA"/>
        </w:rPr>
        <w:t xml:space="preserve">rademarks perform a different function than other forms of </w:t>
      </w:r>
      <w:r w:rsidR="00606FCB">
        <w:rPr>
          <w:lang w:val="en-GB" w:bidi="ar-SA"/>
        </w:rPr>
        <w:t xml:space="preserve">IPRs </w:t>
      </w:r>
      <w:r w:rsidRPr="00844C55">
        <w:rPr>
          <w:lang w:val="en-GB" w:bidi="ar-SA"/>
        </w:rPr>
        <w:t>and serv</w:t>
      </w:r>
      <w:r w:rsidRPr="00844C55">
        <w:rPr>
          <w:rFonts w:eastAsia="SimSun"/>
          <w:lang w:val="en-GB" w:bidi="ar-SA"/>
        </w:rPr>
        <w:t>e</w:t>
      </w:r>
      <w:r w:rsidRPr="00844C55">
        <w:rPr>
          <w:lang w:val="en-GB" w:bidi="ar-SA"/>
        </w:rPr>
        <w:t xml:space="preserve"> </w:t>
      </w:r>
      <w:r w:rsidRPr="00844C55">
        <w:rPr>
          <w:rFonts w:eastAsia="SimSun"/>
          <w:lang w:val="en-GB" w:bidi="ar-SA"/>
        </w:rPr>
        <w:t>as</w:t>
      </w:r>
      <w:r w:rsidRPr="00844C55">
        <w:rPr>
          <w:lang w:val="en-GB" w:bidi="ar-SA"/>
        </w:rPr>
        <w:t xml:space="preserve"> carriers of information to identify a specific product brand or quality. </w:t>
      </w:r>
      <w:r w:rsidRPr="00844C55">
        <w:rPr>
          <w:rFonts w:eastAsia="SimSun"/>
          <w:lang w:val="en-GB" w:bidi="ar-SA"/>
        </w:rPr>
        <w:t>Economic argument for protecting trademarks</w:t>
      </w:r>
      <w:r w:rsidRPr="00844C55">
        <w:rPr>
          <w:lang w:val="en-GB" w:bidi="ar-SA"/>
        </w:rPr>
        <w:t xml:space="preserve"> asserts that trademarks </w:t>
      </w:r>
      <w:r w:rsidRPr="00844C55">
        <w:rPr>
          <w:rFonts w:eastAsia="SimSun"/>
          <w:lang w:val="en-GB" w:bidi="ar-SA"/>
        </w:rPr>
        <w:t>have</w:t>
      </w:r>
      <w:r w:rsidRPr="00844C55">
        <w:rPr>
          <w:lang w:val="en-GB" w:bidi="ar-SA"/>
        </w:rPr>
        <w:t xml:space="preserve"> </w:t>
      </w:r>
      <w:r w:rsidRPr="00844C55">
        <w:rPr>
          <w:rFonts w:eastAsia="SimSun"/>
          <w:lang w:val="en-GB" w:bidi="ar-SA"/>
        </w:rPr>
        <w:t xml:space="preserve">two </w:t>
      </w:r>
      <w:r w:rsidRPr="00844C55">
        <w:rPr>
          <w:lang w:val="en-GB" w:bidi="ar-SA"/>
        </w:rPr>
        <w:t>efficiency-enhancing function</w:t>
      </w:r>
      <w:r w:rsidRPr="00844C55">
        <w:rPr>
          <w:rFonts w:eastAsia="SimSun"/>
          <w:lang w:val="en-GB" w:bidi="ar-SA"/>
        </w:rPr>
        <w:t>s</w:t>
      </w:r>
      <w:r w:rsidRPr="00844C55">
        <w:rPr>
          <w:lang w:val="en-GB" w:bidi="ar-SA"/>
        </w:rPr>
        <w:t xml:space="preserve">: </w:t>
      </w:r>
      <w:r w:rsidRPr="00844C55">
        <w:rPr>
          <w:rFonts w:eastAsia="SimSun"/>
          <w:lang w:val="en-GB" w:bidi="ar-SA"/>
        </w:rPr>
        <w:t>f</w:t>
      </w:r>
      <w:r w:rsidRPr="00844C55">
        <w:rPr>
          <w:lang w:val="en-GB" w:bidi="ar-SA"/>
        </w:rPr>
        <w:t xml:space="preserve">irst, trademarks </w:t>
      </w:r>
      <w:r w:rsidRPr="00844C55">
        <w:rPr>
          <w:rFonts w:eastAsia="SimSun"/>
          <w:lang w:val="en-GB" w:bidi="ar-SA"/>
        </w:rPr>
        <w:t>lower</w:t>
      </w:r>
      <w:r w:rsidRPr="00844C55">
        <w:rPr>
          <w:lang w:val="en-GB" w:bidi="ar-SA"/>
        </w:rPr>
        <w:t xml:space="preserve"> consumer search costs by </w:t>
      </w:r>
      <w:r w:rsidRPr="00844C55">
        <w:rPr>
          <w:rFonts w:eastAsia="SimSun"/>
          <w:lang w:val="en-GB" w:bidi="ar-SA"/>
        </w:rPr>
        <w:t>distinguishing the goods or services of different producers</w:t>
      </w:r>
      <w:r w:rsidRPr="00844C55">
        <w:rPr>
          <w:lang w:val="en-GB" w:bidi="ar-SA"/>
        </w:rPr>
        <w:t xml:space="preserve">, and second, </w:t>
      </w:r>
      <w:r w:rsidRPr="00844C55">
        <w:rPr>
          <w:rFonts w:eastAsia="SimSun"/>
          <w:lang w:val="en-GB" w:bidi="ar-SA"/>
        </w:rPr>
        <w:t>trademarks protect good reputation maintained by constant investment on product quality from free-riding competitors</w:t>
      </w:r>
      <w:r w:rsidRPr="00844C55">
        <w:rPr>
          <w:lang w:val="en-GB" w:bidi="ar-SA"/>
        </w:rPr>
        <w:t>.</w:t>
      </w:r>
      <w:r w:rsidRPr="00844C55">
        <w:rPr>
          <w:rStyle w:val="FootnoteReference"/>
          <w:lang w:val="en-GB" w:bidi="ar-SA"/>
        </w:rPr>
        <w:t xml:space="preserve"> </w:t>
      </w:r>
      <w:r w:rsidRPr="00844C55">
        <w:rPr>
          <w:rStyle w:val="FootnoteReference"/>
          <w:lang w:val="en-GB" w:bidi="ar-SA"/>
        </w:rPr>
        <w:footnoteReference w:id="15"/>
      </w:r>
      <w:r w:rsidRPr="00844C55">
        <w:rPr>
          <w:rFonts w:eastAsia="SimSun"/>
          <w:lang w:val="en-GB" w:bidi="ar-SA"/>
        </w:rPr>
        <w:t xml:space="preserve"> </w:t>
      </w:r>
      <w:r w:rsidRPr="00844C55">
        <w:rPr>
          <w:sz w:val="22"/>
          <w:szCs w:val="22"/>
          <w:lang w:val="en-GB"/>
        </w:rPr>
        <w:t xml:space="preserve">The </w:t>
      </w:r>
      <w:r w:rsidRPr="00844C55">
        <w:rPr>
          <w:rFonts w:eastAsia="SimSun"/>
          <w:lang w:val="en-GB" w:bidi="ar-SA"/>
        </w:rPr>
        <w:t>European Court of Justice (ECJ) referred the “essential function” of a trademark as to guarantee the identity of the origin of the trade-marked product to the consumer.</w:t>
      </w:r>
      <w:r w:rsidRPr="00844C55">
        <w:rPr>
          <w:rStyle w:val="FootnoteReference"/>
          <w:rFonts w:eastAsia="SimSun"/>
          <w:lang w:val="en-GB" w:bidi="ar-SA"/>
        </w:rPr>
        <w:footnoteReference w:id="16"/>
      </w:r>
      <w:r w:rsidRPr="00844C55">
        <w:rPr>
          <w:lang w:val="en-GB" w:bidi="ar-SA"/>
        </w:rPr>
        <w:t xml:space="preserve"> Legal protection of patents, copyrights and designs aims at providing incentives for the holders to make investments in innovation. Trademarks are meant to protect the consumer welfare through fostering “competition and the maintenance of quality by securing to the producer the benefits of a good reputation”.</w:t>
      </w:r>
      <w:r w:rsidRPr="00844C55">
        <w:rPr>
          <w:rStyle w:val="FootnoteReference"/>
          <w:lang w:val="en-GB" w:bidi="ar-SA"/>
        </w:rPr>
        <w:footnoteReference w:id="17"/>
      </w:r>
      <w:r w:rsidRPr="00844C55">
        <w:rPr>
          <w:lang w:val="en-GB" w:bidi="ar-SA"/>
        </w:rPr>
        <w:t xml:space="preserve"> </w:t>
      </w:r>
    </w:p>
    <w:p w:rsidR="003A31EA" w:rsidRPr="00844C55" w:rsidRDefault="003A31EA" w:rsidP="003A31EA">
      <w:pPr>
        <w:rPr>
          <w:rFonts w:eastAsia="SimSun"/>
          <w:lang w:val="en-GB" w:bidi="ar-SA"/>
        </w:rPr>
      </w:pPr>
      <w:r w:rsidRPr="00844C55">
        <w:rPr>
          <w:rFonts w:eastAsia="SimSun"/>
          <w:lang w:val="en-GB" w:bidi="ar-SA"/>
        </w:rPr>
        <w:t xml:space="preserve">With different functions, the exclusivity of trademarks may cause different competition problems than other forms of IP rights. </w:t>
      </w:r>
      <w:r w:rsidRPr="00844C55">
        <w:rPr>
          <w:lang w:val="en-GB" w:bidi="ar-SA"/>
        </w:rPr>
        <w:t xml:space="preserve">As indicated in the US IP </w:t>
      </w:r>
      <w:r w:rsidRPr="00844C55">
        <w:rPr>
          <w:rFonts w:eastAsia="SimSun"/>
          <w:lang w:val="en-GB" w:bidi="ar-SA"/>
        </w:rPr>
        <w:t xml:space="preserve">Licensing </w:t>
      </w:r>
      <w:r w:rsidRPr="00844C55">
        <w:rPr>
          <w:lang w:val="en-GB" w:bidi="ar-SA"/>
        </w:rPr>
        <w:t xml:space="preserve">Guidelines, although the same general antitrust principles that apply to other forms of IP apply to trademarks as well, technology transfer and innovation-related issues are typically arise with respect to patents, copyrights, trade secrets, and know-how agreements, </w:t>
      </w:r>
      <w:r w:rsidRPr="00844C55">
        <w:rPr>
          <w:rFonts w:eastAsia="SimSun"/>
          <w:lang w:val="en-GB" w:bidi="ar-SA"/>
        </w:rPr>
        <w:t>but</w:t>
      </w:r>
      <w:r w:rsidRPr="00844C55">
        <w:rPr>
          <w:lang w:val="en-GB" w:bidi="ar-SA"/>
        </w:rPr>
        <w:t xml:space="preserve"> product-differentiation issues typically with respect to trademarks.</w:t>
      </w:r>
      <w:r w:rsidRPr="00844C55">
        <w:rPr>
          <w:rStyle w:val="FootnoteReference"/>
          <w:lang w:val="en-GB" w:bidi="ar-SA"/>
        </w:rPr>
        <w:footnoteReference w:id="18"/>
      </w:r>
      <w:r w:rsidRPr="00844C55">
        <w:rPr>
          <w:lang w:val="en-GB" w:bidi="ar-SA"/>
        </w:rPr>
        <w:t xml:space="preserve"> </w:t>
      </w:r>
      <w:r w:rsidR="00957DEE" w:rsidRPr="00844C55">
        <w:rPr>
          <w:rFonts w:eastAsia="SimSun"/>
          <w:lang w:val="en-GB" w:bidi="ar-SA"/>
        </w:rPr>
        <w:t>Accordingly, although compulsory licences have been</w:t>
      </w:r>
      <w:r w:rsidRPr="00844C55">
        <w:rPr>
          <w:rFonts w:eastAsia="SimSun"/>
          <w:lang w:val="en-GB" w:bidi="ar-SA"/>
        </w:rPr>
        <w:t xml:space="preserve"> </w:t>
      </w:r>
      <w:r w:rsidR="00957DEE" w:rsidRPr="00844C55">
        <w:rPr>
          <w:rFonts w:eastAsia="SimSun"/>
          <w:lang w:val="en-GB" w:bidi="ar-SA"/>
        </w:rPr>
        <w:t>adopted to grant all types of IP rights</w:t>
      </w:r>
      <w:r w:rsidRPr="00844C55">
        <w:rPr>
          <w:rFonts w:eastAsia="SimSun"/>
          <w:lang w:val="en-GB" w:bidi="ar-SA"/>
        </w:rPr>
        <w:t xml:space="preserve">, </w:t>
      </w:r>
      <w:r w:rsidR="00957DEE" w:rsidRPr="00844C55">
        <w:rPr>
          <w:rFonts w:eastAsia="SimSun"/>
          <w:lang w:val="en-GB" w:bidi="ar-SA"/>
        </w:rPr>
        <w:t xml:space="preserve">the purposes of such </w:t>
      </w:r>
      <w:r w:rsidR="00957DEE" w:rsidRPr="00844C55">
        <w:rPr>
          <w:rFonts w:eastAsia="SimSun"/>
          <w:lang w:val="en-GB" w:bidi="ar-SA"/>
        </w:rPr>
        <w:lastRenderedPageBreak/>
        <w:t xml:space="preserve">licences were different between trademarks and other forms of IP rights. </w:t>
      </w:r>
      <w:r w:rsidR="00860345" w:rsidRPr="00844C55">
        <w:rPr>
          <w:rFonts w:eastAsia="SimSun"/>
          <w:lang w:val="en-GB" w:bidi="ar-SA"/>
        </w:rPr>
        <w:t>The</w:t>
      </w:r>
      <w:r w:rsidRPr="00844C55">
        <w:rPr>
          <w:rFonts w:eastAsia="SimSun"/>
          <w:lang w:val="en-GB" w:bidi="ar-SA"/>
        </w:rPr>
        <w:t xml:space="preserve"> </w:t>
      </w:r>
      <w:r w:rsidR="00F45326">
        <w:rPr>
          <w:rFonts w:eastAsia="SimSun"/>
          <w:lang w:val="en-GB" w:bidi="ar-SA"/>
        </w:rPr>
        <w:t>compulsory licences of trademarks</w:t>
      </w:r>
      <w:r w:rsidR="00860345" w:rsidRPr="00844C55">
        <w:rPr>
          <w:rFonts w:eastAsia="SimSun"/>
          <w:lang w:val="en-GB" w:bidi="ar-SA"/>
        </w:rPr>
        <w:t xml:space="preserve"> redirect the customers’ preference away from t</w:t>
      </w:r>
      <w:r w:rsidR="00F45326">
        <w:rPr>
          <w:rFonts w:eastAsia="SimSun"/>
          <w:lang w:val="en-GB" w:bidi="ar-SA"/>
        </w:rPr>
        <w:t>he products with the trademarks</w:t>
      </w:r>
      <w:r w:rsidR="00F45326">
        <w:rPr>
          <w:rFonts w:eastAsia="SimSun" w:hint="eastAsia"/>
          <w:lang w:val="en-GB" w:bidi="ar-SA"/>
        </w:rPr>
        <w:t>.</w:t>
      </w:r>
      <w:r w:rsidR="00860345" w:rsidRPr="00844C55">
        <w:rPr>
          <w:rFonts w:eastAsia="SimSun"/>
          <w:lang w:val="en-GB" w:bidi="ar-SA"/>
        </w:rPr>
        <w:t xml:space="preserve"> </w:t>
      </w:r>
      <w:r w:rsidR="00F45326">
        <w:rPr>
          <w:rFonts w:eastAsia="SimSun" w:hint="eastAsia"/>
          <w:lang w:val="en-GB" w:bidi="ar-SA"/>
        </w:rPr>
        <w:t>B</w:t>
      </w:r>
      <w:r w:rsidR="00860345" w:rsidRPr="00844C55">
        <w:rPr>
          <w:rFonts w:eastAsia="SimSun"/>
          <w:lang w:val="en-GB" w:bidi="ar-SA"/>
        </w:rPr>
        <w:t>ut, for other forms of IP right,</w:t>
      </w:r>
      <w:r w:rsidRPr="00844C55">
        <w:rPr>
          <w:rFonts w:eastAsia="SimSun"/>
          <w:lang w:val="en-GB" w:bidi="ar-SA"/>
        </w:rPr>
        <w:t xml:space="preserve"> </w:t>
      </w:r>
      <w:r w:rsidR="00F45326">
        <w:rPr>
          <w:rFonts w:eastAsia="SimSun" w:hint="eastAsia"/>
          <w:lang w:val="en-GB" w:bidi="ar-SA"/>
        </w:rPr>
        <w:t xml:space="preserve">compulsory licenses </w:t>
      </w:r>
      <w:r w:rsidRPr="00844C55">
        <w:rPr>
          <w:rFonts w:eastAsia="SimSun"/>
          <w:lang w:val="en-GB" w:bidi="ar-SA"/>
        </w:rPr>
        <w:t>provide access to certain technology or know-how related to patents, copyr</w:t>
      </w:r>
      <w:r w:rsidR="00860345" w:rsidRPr="00844C55">
        <w:rPr>
          <w:rFonts w:eastAsia="SimSun"/>
          <w:lang w:val="en-GB" w:bidi="ar-SA"/>
        </w:rPr>
        <w:t>ights and designs</w:t>
      </w:r>
      <w:r w:rsidRPr="00844C55">
        <w:rPr>
          <w:rFonts w:eastAsia="SimSun"/>
          <w:lang w:val="en-GB" w:bidi="ar-SA"/>
        </w:rPr>
        <w:t xml:space="preserve">. For instance, an exclusive licence of a patent guarantees the licensee’s exclusive access to the patent, </w:t>
      </w:r>
      <w:r w:rsidR="00A14E85">
        <w:rPr>
          <w:rFonts w:eastAsia="SimSun" w:hint="eastAsia"/>
          <w:lang w:val="en-GB" w:bidi="ar-SA"/>
        </w:rPr>
        <w:t>but a</w:t>
      </w:r>
      <w:r w:rsidRPr="00844C55">
        <w:rPr>
          <w:rFonts w:eastAsia="SimSun"/>
          <w:lang w:val="en-GB" w:bidi="ar-SA"/>
        </w:rPr>
        <w:t xml:space="preserve"> re-branding remedy, an exclusive licence of a trademark, helps the licensee to establish its own brand. </w:t>
      </w:r>
    </w:p>
    <w:p w:rsidR="003A31EA" w:rsidRPr="00844C55" w:rsidRDefault="00B25ECA" w:rsidP="003A31EA">
      <w:pPr>
        <w:rPr>
          <w:rFonts w:eastAsia="SimSun"/>
          <w:lang w:val="en-GB" w:bidi="ar-SA"/>
        </w:rPr>
      </w:pPr>
      <w:r w:rsidRPr="00844C55">
        <w:rPr>
          <w:rFonts w:eastAsia="SimSun"/>
          <w:lang w:val="en-GB" w:bidi="ar-SA"/>
        </w:rPr>
        <w:t>As trademarks have</w:t>
      </w:r>
      <w:r w:rsidR="003A31EA" w:rsidRPr="00844C55">
        <w:rPr>
          <w:rFonts w:eastAsia="SimSun"/>
          <w:lang w:val="en-GB" w:bidi="ar-SA"/>
        </w:rPr>
        <w:t xml:space="preserve"> unique function</w:t>
      </w:r>
      <w:r w:rsidRPr="00844C55">
        <w:rPr>
          <w:rFonts w:eastAsia="SimSun"/>
          <w:lang w:val="en-GB" w:bidi="ar-SA"/>
        </w:rPr>
        <w:t>s</w:t>
      </w:r>
      <w:r w:rsidR="003A31EA" w:rsidRPr="00844C55">
        <w:rPr>
          <w:rFonts w:eastAsia="SimSun"/>
          <w:lang w:val="en-GB" w:bidi="ar-SA"/>
        </w:rPr>
        <w:t xml:space="preserve"> and less involvement with innovation, typical competition issues arise from trademarks vary from other forms of IP rights, in turn, </w:t>
      </w:r>
      <w:r w:rsidRPr="00844C55">
        <w:rPr>
          <w:rFonts w:eastAsia="SimSun"/>
          <w:lang w:val="en-GB" w:bidi="ar-SA"/>
        </w:rPr>
        <w:t>compulsory licences have</w:t>
      </w:r>
      <w:r w:rsidR="003A31EA" w:rsidRPr="00844C55">
        <w:rPr>
          <w:rFonts w:eastAsia="SimSun"/>
          <w:lang w:val="en-GB" w:bidi="ar-SA"/>
        </w:rPr>
        <w:t xml:space="preserve"> different focuses for trademarks concerns. This article </w:t>
      </w:r>
      <w:r w:rsidRPr="00844C55">
        <w:rPr>
          <w:rFonts w:eastAsia="SimSun"/>
          <w:lang w:val="en-GB" w:bidi="ar-SA"/>
        </w:rPr>
        <w:t>studies compulsory licensing from</w:t>
      </w:r>
      <w:r w:rsidR="003A31EA" w:rsidRPr="00844C55">
        <w:rPr>
          <w:rFonts w:eastAsia="SimSun"/>
          <w:lang w:val="en-GB" w:bidi="ar-SA"/>
        </w:rPr>
        <w:t xml:space="preserve"> an </w:t>
      </w:r>
      <w:r w:rsidRPr="00844C55">
        <w:rPr>
          <w:rFonts w:eastAsia="SimSun"/>
          <w:lang w:val="en-GB" w:bidi="ar-SA"/>
        </w:rPr>
        <w:t>angle</w:t>
      </w:r>
      <w:r w:rsidR="003A31EA" w:rsidRPr="00844C55">
        <w:rPr>
          <w:rFonts w:eastAsia="SimSun"/>
          <w:lang w:val="en-GB" w:bidi="ar-SA"/>
        </w:rPr>
        <w:t xml:space="preserve"> more related to t</w:t>
      </w:r>
      <w:r w:rsidR="006F4DB8" w:rsidRPr="00844C55">
        <w:rPr>
          <w:rFonts w:eastAsia="SimSun"/>
          <w:lang w:val="en-GB" w:bidi="ar-SA"/>
        </w:rPr>
        <w:t>echnology and innovation issues, so trademark licences are not discussed here.</w:t>
      </w:r>
    </w:p>
    <w:p w:rsidR="0096625E" w:rsidRPr="00844C55" w:rsidRDefault="0096625E" w:rsidP="0096625E">
      <w:pPr>
        <w:pStyle w:val="Heading1"/>
        <w:rPr>
          <w:rFonts w:eastAsia="SimSun"/>
          <w:lang w:val="en-GB"/>
        </w:rPr>
      </w:pPr>
      <w:r w:rsidRPr="00844C55">
        <w:rPr>
          <w:rFonts w:eastAsia="SimSun"/>
          <w:lang w:val="en-GB"/>
        </w:rPr>
        <w:t>Compulsory Licensing in Article 102 Cases</w:t>
      </w:r>
    </w:p>
    <w:p w:rsidR="0096625E" w:rsidRPr="00844C55" w:rsidRDefault="00B83882" w:rsidP="0096625E">
      <w:pPr>
        <w:pStyle w:val="Heading2"/>
        <w:rPr>
          <w:lang w:val="en-GB"/>
        </w:rPr>
      </w:pPr>
      <w:bookmarkStart w:id="1" w:name="SM"/>
      <w:r>
        <w:rPr>
          <w:rFonts w:eastAsia="SimSun" w:hint="eastAsia"/>
          <w:lang w:val="en-GB"/>
        </w:rPr>
        <w:t xml:space="preserve">IP related </w:t>
      </w:r>
      <w:r w:rsidR="0096625E" w:rsidRPr="00844C55">
        <w:rPr>
          <w:rFonts w:eastAsia="SimSun"/>
          <w:lang w:val="en-GB"/>
        </w:rPr>
        <w:t>Abusive Behaviou</w:t>
      </w:r>
      <w:r>
        <w:rPr>
          <w:rFonts w:eastAsia="SimSun"/>
          <w:lang w:val="en-GB"/>
        </w:rPr>
        <w:t>rs</w:t>
      </w:r>
    </w:p>
    <w:p w:rsidR="0096625E" w:rsidRPr="00844C55" w:rsidRDefault="0096625E" w:rsidP="0096625E">
      <w:pPr>
        <w:pStyle w:val="Heading3"/>
        <w:rPr>
          <w:lang w:val="en-GB"/>
        </w:rPr>
      </w:pPr>
      <w:r w:rsidRPr="00844C55">
        <w:rPr>
          <w:lang w:val="en-GB"/>
        </w:rPr>
        <w:t>Refusals to license</w:t>
      </w:r>
    </w:p>
    <w:p w:rsidR="002508D2" w:rsidRDefault="00996E69" w:rsidP="0096625E">
      <w:pPr>
        <w:rPr>
          <w:lang w:val="en-GB"/>
        </w:rPr>
      </w:pPr>
      <w:bookmarkStart w:id="2" w:name="para22"/>
      <w:bookmarkEnd w:id="1"/>
      <w:bookmarkEnd w:id="2"/>
      <w:r w:rsidRPr="00844C55">
        <w:rPr>
          <w:rFonts w:eastAsia="SimSun"/>
          <w:lang w:val="en-GB" w:bidi="ar-SA"/>
        </w:rPr>
        <w:t>EU competition law attempts to preserve effective competition by means of, inter alia, maintaining access to markets and preventing foreclosure of competition a</w:t>
      </w:r>
      <w:r w:rsidR="000B11F6">
        <w:rPr>
          <w:rFonts w:eastAsia="SimSun"/>
          <w:lang w:val="en-GB" w:bidi="ar-SA"/>
        </w:rPr>
        <w:t>gainst abuse of IP rights</w:t>
      </w:r>
      <w:r w:rsidRPr="00844C55">
        <w:rPr>
          <w:rFonts w:eastAsia="SimSun"/>
          <w:lang w:val="en-GB" w:bidi="ar-SA"/>
        </w:rPr>
        <w:t xml:space="preserve">. Under exceptional circumstances, a refusal to grant a licence might </w:t>
      </w:r>
      <w:r w:rsidR="008326AE">
        <w:rPr>
          <w:rFonts w:eastAsia="SimSun"/>
          <w:lang w:val="en-GB" w:bidi="ar-SA"/>
        </w:rPr>
        <w:t>constitut</w:t>
      </w:r>
      <w:r w:rsidR="008326AE">
        <w:rPr>
          <w:rFonts w:eastAsia="SimSun" w:hint="eastAsia"/>
          <w:lang w:val="en-GB" w:bidi="ar-SA"/>
        </w:rPr>
        <w:t>e</w:t>
      </w:r>
      <w:r w:rsidRPr="00844C55">
        <w:rPr>
          <w:rFonts w:eastAsia="SimSun"/>
          <w:lang w:val="en-GB" w:bidi="ar-SA"/>
        </w:rPr>
        <w:t xml:space="preserve"> an abuse of a dominant position because of its harmful effects on innovation and consumer welfare. </w:t>
      </w:r>
      <w:r w:rsidRPr="00844C55">
        <w:rPr>
          <w:lang w:val="en-GB"/>
        </w:rPr>
        <w:t xml:space="preserve">Competition </w:t>
      </w:r>
      <w:r w:rsidRPr="00844C55">
        <w:rPr>
          <w:rFonts w:eastAsia="SimSun"/>
          <w:lang w:val="en-GB"/>
        </w:rPr>
        <w:t>concerns</w:t>
      </w:r>
      <w:r w:rsidRPr="00844C55">
        <w:rPr>
          <w:lang w:val="en-GB"/>
        </w:rPr>
        <w:t xml:space="preserve"> may </w:t>
      </w:r>
      <w:r w:rsidRPr="00844C55">
        <w:rPr>
          <w:rFonts w:eastAsia="SimSun"/>
          <w:lang w:val="en-GB"/>
        </w:rPr>
        <w:t>arise</w:t>
      </w:r>
      <w:r w:rsidRPr="00844C55">
        <w:rPr>
          <w:lang w:val="en-GB"/>
        </w:rPr>
        <w:t xml:space="preserve"> surrounding the </w:t>
      </w:r>
      <w:r w:rsidRPr="00844C55">
        <w:rPr>
          <w:rFonts w:eastAsia="SimSun"/>
          <w:lang w:val="en-GB"/>
        </w:rPr>
        <w:t xml:space="preserve">availability of the </w:t>
      </w:r>
      <w:r w:rsidRPr="00844C55">
        <w:rPr>
          <w:lang w:val="en-GB"/>
        </w:rPr>
        <w:t xml:space="preserve">access to IP rights, as well as the conditions under which that access is granted. </w:t>
      </w:r>
    </w:p>
    <w:p w:rsidR="0096625E" w:rsidRPr="00844C55" w:rsidRDefault="0096625E" w:rsidP="0096625E">
      <w:pPr>
        <w:rPr>
          <w:rFonts w:eastAsia="SimSun"/>
          <w:lang w:val="en-GB" w:bidi="ar-SA"/>
        </w:rPr>
      </w:pPr>
      <w:r w:rsidRPr="00844C55">
        <w:rPr>
          <w:lang w:val="en-GB"/>
        </w:rPr>
        <w:t xml:space="preserve">The ECJ first </w:t>
      </w:r>
      <w:r w:rsidR="00D20778">
        <w:rPr>
          <w:rFonts w:eastAsia="SimSun" w:hint="eastAsia"/>
          <w:lang w:val="en-GB"/>
        </w:rPr>
        <w:t xml:space="preserve">came across </w:t>
      </w:r>
      <w:r w:rsidR="00D20778">
        <w:rPr>
          <w:rFonts w:eastAsia="SimSun"/>
          <w:lang w:val="en-GB"/>
        </w:rPr>
        <w:t>with</w:t>
      </w:r>
      <w:r w:rsidRPr="00844C55">
        <w:rPr>
          <w:rFonts w:eastAsia="SimSun"/>
          <w:lang w:val="en-GB"/>
        </w:rPr>
        <w:t xml:space="preserve"> this </w:t>
      </w:r>
      <w:r w:rsidRPr="00844C55">
        <w:rPr>
          <w:lang w:val="en-GB"/>
        </w:rPr>
        <w:t>matter in</w:t>
      </w:r>
      <w:r w:rsidRPr="00844C55">
        <w:rPr>
          <w:rFonts w:eastAsia="SimSun"/>
          <w:lang w:val="en-GB"/>
        </w:rPr>
        <w:t xml:space="preserve"> </w:t>
      </w:r>
      <w:r w:rsidRPr="00844C55">
        <w:rPr>
          <w:i/>
          <w:lang w:val="en-GB"/>
        </w:rPr>
        <w:t>Volvo</w:t>
      </w:r>
      <w:r w:rsidRPr="00844C55">
        <w:rPr>
          <w:rStyle w:val="FootnoteReference"/>
          <w:i/>
          <w:lang w:val="en-GB"/>
        </w:rPr>
        <w:footnoteReference w:id="19"/>
      </w:r>
      <w:r w:rsidRPr="00844C55">
        <w:rPr>
          <w:lang w:val="en-GB"/>
        </w:rPr>
        <w:t xml:space="preserve"> as an Article 234 reference. The court confirmed that, firstly, a refusal to license by the </w:t>
      </w:r>
      <w:r w:rsidR="00D8492E">
        <w:rPr>
          <w:lang w:val="en-GB"/>
        </w:rPr>
        <w:t xml:space="preserve">IPR holder </w:t>
      </w:r>
      <w:r w:rsidRPr="00844C55">
        <w:rPr>
          <w:lang w:val="en-GB"/>
        </w:rPr>
        <w:t xml:space="preserve">to the third parties cannot in itself constitute an abuse of a dominant position, because it is the very subject-matter of his exclusive right to prevent third parties from manufacturing and selling or importing, without its consent, products incorporating the IP rights; and secondly, </w:t>
      </w:r>
      <w:r w:rsidRPr="00844C55">
        <w:rPr>
          <w:rFonts w:eastAsia="SimSun"/>
          <w:lang w:val="en-GB"/>
        </w:rPr>
        <w:t xml:space="preserve">the exercise of such an exclusive right by the </w:t>
      </w:r>
      <w:r w:rsidR="00606FCB">
        <w:rPr>
          <w:lang w:val="en-GB"/>
        </w:rPr>
        <w:t xml:space="preserve">IPR </w:t>
      </w:r>
      <w:r w:rsidRPr="00844C55">
        <w:rPr>
          <w:lang w:val="en-GB"/>
        </w:rPr>
        <w:t>holder</w:t>
      </w:r>
      <w:r w:rsidRPr="00844C55">
        <w:rPr>
          <w:rFonts w:eastAsia="SimSun"/>
          <w:lang w:val="en-GB"/>
        </w:rPr>
        <w:t xml:space="preserve"> holding a dominant position may be prohibited by Article </w:t>
      </w:r>
      <w:r w:rsidRPr="00844C55">
        <w:rPr>
          <w:lang w:val="en-GB"/>
        </w:rPr>
        <w:t>102</w:t>
      </w:r>
      <w:r w:rsidRPr="00844C55">
        <w:rPr>
          <w:rFonts w:eastAsia="SimSun"/>
          <w:lang w:val="en-GB"/>
        </w:rPr>
        <w:t xml:space="preserve"> if it involves certain abusive conduct such as the arbitrary refusal to supply spare parts to independent repairers, the fixing of prices for spare parts at an unfair level or a decision no </w:t>
      </w:r>
      <w:r w:rsidRPr="00844C55">
        <w:rPr>
          <w:rFonts w:eastAsia="SimSun"/>
          <w:lang w:val="en-GB"/>
        </w:rPr>
        <w:lastRenderedPageBreak/>
        <w:t xml:space="preserve">longer to produce spare parts for a particular model even though many cars of that model are still in circulation, provided that such conduct is liable to affect trade between Member States . </w:t>
      </w:r>
    </w:p>
    <w:p w:rsidR="009C153D" w:rsidRPr="00844C55" w:rsidRDefault="0096625E" w:rsidP="009C153D">
      <w:pPr>
        <w:rPr>
          <w:rFonts w:ascii="Times-Roman" w:eastAsia="SimSun" w:hAnsi="Times-Roman" w:cs="Times-Roman"/>
          <w:szCs w:val="24"/>
          <w:lang w:val="en-GB" w:bidi="ar-SA"/>
        </w:rPr>
      </w:pPr>
      <w:r w:rsidRPr="00844C55">
        <w:rPr>
          <w:rFonts w:eastAsia="SimSun"/>
          <w:lang w:val="en-GB"/>
        </w:rPr>
        <w:t xml:space="preserve">The </w:t>
      </w:r>
      <w:r w:rsidRPr="00844C55">
        <w:rPr>
          <w:rFonts w:eastAsia="SimSun"/>
          <w:i/>
          <w:lang w:val="en-GB"/>
        </w:rPr>
        <w:t>Volvo</w:t>
      </w:r>
      <w:r w:rsidRPr="00844C55">
        <w:rPr>
          <w:rFonts w:eastAsia="SimSun"/>
          <w:lang w:val="en-GB"/>
        </w:rPr>
        <w:t xml:space="preserve"> decision explicitly established that generally </w:t>
      </w:r>
      <w:r w:rsidRPr="00844C55">
        <w:rPr>
          <w:lang w:val="en-GB"/>
        </w:rPr>
        <w:t>a</w:t>
      </w:r>
      <w:r w:rsidRPr="00844C55">
        <w:rPr>
          <w:rFonts w:eastAsia="SimSun"/>
          <w:lang w:val="en-GB"/>
        </w:rPr>
        <w:t xml:space="preserve">n </w:t>
      </w:r>
      <w:r w:rsidR="00D8492E">
        <w:rPr>
          <w:rFonts w:eastAsia="SimSun"/>
          <w:lang w:val="en-GB"/>
        </w:rPr>
        <w:t xml:space="preserve">IPR holder </w:t>
      </w:r>
      <w:r w:rsidRPr="00844C55">
        <w:rPr>
          <w:rFonts w:eastAsia="SimSun"/>
          <w:lang w:val="en-GB"/>
        </w:rPr>
        <w:t xml:space="preserve">with a </w:t>
      </w:r>
      <w:r w:rsidRPr="00844C55">
        <w:rPr>
          <w:lang w:val="en-GB"/>
        </w:rPr>
        <w:t xml:space="preserve">dominant </w:t>
      </w:r>
      <w:r w:rsidRPr="00844C55">
        <w:rPr>
          <w:rFonts w:eastAsia="SimSun"/>
          <w:lang w:val="en-GB"/>
        </w:rPr>
        <w:t>position</w:t>
      </w:r>
      <w:r w:rsidRPr="00844C55">
        <w:rPr>
          <w:lang w:val="en-GB"/>
        </w:rPr>
        <w:t xml:space="preserve"> has no obligation to grant licence</w:t>
      </w:r>
      <w:r w:rsidRPr="00844C55">
        <w:rPr>
          <w:rFonts w:eastAsia="SimSun"/>
          <w:lang w:val="en-GB"/>
        </w:rPr>
        <w:t>s</w:t>
      </w:r>
      <w:r w:rsidRPr="00844C55">
        <w:rPr>
          <w:lang w:val="en-GB"/>
        </w:rPr>
        <w:t xml:space="preserve"> </w:t>
      </w:r>
      <w:r w:rsidRPr="00844C55">
        <w:rPr>
          <w:rFonts w:eastAsia="SimSun"/>
          <w:lang w:val="en-GB"/>
        </w:rPr>
        <w:t xml:space="preserve">of </w:t>
      </w:r>
      <w:r w:rsidRPr="00844C55">
        <w:rPr>
          <w:lang w:val="en-GB"/>
        </w:rPr>
        <w:t>its IP rights</w:t>
      </w:r>
      <w:r w:rsidRPr="00844C55">
        <w:rPr>
          <w:rFonts w:eastAsia="SimSun"/>
          <w:lang w:val="en-GB"/>
        </w:rPr>
        <w:t xml:space="preserve">, but the holder may, under exceptional circumstances, bear the duty to grant the access to its </w:t>
      </w:r>
      <w:r w:rsidR="00606FCB">
        <w:rPr>
          <w:rFonts w:eastAsia="SimSun"/>
          <w:lang w:val="en-GB"/>
        </w:rPr>
        <w:t xml:space="preserve">IPRs </w:t>
      </w:r>
      <w:r w:rsidRPr="00844C55">
        <w:rPr>
          <w:rFonts w:eastAsia="SimSun"/>
          <w:lang w:val="en-GB"/>
        </w:rPr>
        <w:t>to others. However, t</w:t>
      </w:r>
      <w:r w:rsidRPr="00844C55">
        <w:rPr>
          <w:rFonts w:ascii="Times-Roman" w:hAnsi="Times-Roman" w:cs="Times-Roman"/>
          <w:szCs w:val="24"/>
          <w:lang w:val="en-GB" w:bidi="ar-SA"/>
        </w:rPr>
        <w:t xml:space="preserve">he </w:t>
      </w:r>
      <w:r w:rsidRPr="00844C55">
        <w:rPr>
          <w:rFonts w:ascii="Times-Roman" w:eastAsia="SimSun" w:hAnsi="Times-Roman" w:cs="Times-Roman"/>
          <w:szCs w:val="24"/>
          <w:lang w:val="en-GB" w:bidi="ar-SA"/>
        </w:rPr>
        <w:t>ECJ</w:t>
      </w:r>
      <w:r w:rsidRPr="00844C55">
        <w:rPr>
          <w:rFonts w:ascii="Times-Roman" w:hAnsi="Times-Roman" w:cs="Times-Roman"/>
          <w:szCs w:val="24"/>
          <w:lang w:val="en-GB" w:bidi="ar-SA"/>
        </w:rPr>
        <w:t xml:space="preserve"> did not set out </w:t>
      </w:r>
      <w:r w:rsidRPr="00844C55">
        <w:rPr>
          <w:rFonts w:ascii="Times-Roman" w:eastAsia="SimSun" w:hAnsi="Times-Roman" w:cs="Times-Roman"/>
          <w:szCs w:val="24"/>
          <w:lang w:val="en-GB" w:bidi="ar-SA"/>
        </w:rPr>
        <w:t xml:space="preserve">a list of the exceptional </w:t>
      </w:r>
      <w:r w:rsidRPr="00844C55">
        <w:rPr>
          <w:rFonts w:ascii="Times-Roman" w:hAnsi="Times-Roman" w:cs="Times-Roman"/>
          <w:szCs w:val="24"/>
          <w:lang w:val="en-GB" w:bidi="ar-SA"/>
        </w:rPr>
        <w:t>circumstances.</w:t>
      </w:r>
      <w:r w:rsidRPr="00844C55">
        <w:rPr>
          <w:rFonts w:ascii="Times-Roman" w:eastAsia="SimSun" w:hAnsi="Times-Roman" w:cs="Times-Roman"/>
          <w:szCs w:val="24"/>
          <w:lang w:val="en-GB" w:bidi="ar-SA"/>
        </w:rPr>
        <w:t xml:space="preserve"> </w:t>
      </w:r>
      <w:r w:rsidR="0035029A" w:rsidRPr="00844C55">
        <w:rPr>
          <w:rFonts w:ascii="Times-Roman" w:eastAsia="SimSun" w:hAnsi="Times-Roman" w:cs="Times-Roman"/>
          <w:szCs w:val="24"/>
          <w:lang w:val="en-GB" w:bidi="ar-SA"/>
        </w:rPr>
        <w:t>T</w:t>
      </w:r>
      <w:r w:rsidR="009779B5" w:rsidRPr="00844C55">
        <w:rPr>
          <w:rFonts w:eastAsia="SimSun"/>
          <w:lang w:val="en-GB"/>
        </w:rPr>
        <w:t xml:space="preserve">he concept of </w:t>
      </w:r>
      <w:r w:rsidR="00FE2012">
        <w:rPr>
          <w:rFonts w:eastAsia="SimSun"/>
          <w:lang w:val="en-GB"/>
        </w:rPr>
        <w:t>“</w:t>
      </w:r>
      <w:r w:rsidR="009779B5" w:rsidRPr="00844C55">
        <w:rPr>
          <w:rFonts w:eastAsia="SimSun"/>
          <w:lang w:val="en-GB"/>
        </w:rPr>
        <w:t>refusals to licence</w:t>
      </w:r>
      <w:r w:rsidR="00FE2012">
        <w:rPr>
          <w:rFonts w:eastAsia="SimSun"/>
          <w:lang w:val="en-GB"/>
        </w:rPr>
        <w:t>”</w:t>
      </w:r>
      <w:r w:rsidR="009779B5" w:rsidRPr="00844C55">
        <w:rPr>
          <w:rFonts w:eastAsia="SimSun"/>
          <w:lang w:val="en-GB"/>
        </w:rPr>
        <w:t xml:space="preserve"> </w:t>
      </w:r>
      <w:r w:rsidR="005C727C" w:rsidRPr="00844C55">
        <w:rPr>
          <w:rFonts w:eastAsia="SimSun"/>
          <w:lang w:val="en-GB"/>
        </w:rPr>
        <w:t>was</w:t>
      </w:r>
      <w:r w:rsidR="0035029A" w:rsidRPr="00844C55">
        <w:rPr>
          <w:rFonts w:eastAsia="SimSun"/>
          <w:lang w:val="en-GB"/>
        </w:rPr>
        <w:t xml:space="preserve"> further developed </w:t>
      </w:r>
      <w:r w:rsidR="00FE2012">
        <w:rPr>
          <w:rFonts w:eastAsia="SimSun" w:hint="eastAsia"/>
          <w:lang w:val="en-GB"/>
        </w:rPr>
        <w:t xml:space="preserve">by </w:t>
      </w:r>
      <w:r w:rsidR="00FE2012" w:rsidRPr="00844C55">
        <w:rPr>
          <w:rFonts w:eastAsia="SimSun"/>
          <w:lang w:val="en-GB"/>
        </w:rPr>
        <w:t>European courts</w:t>
      </w:r>
      <w:r w:rsidR="00FE2012" w:rsidRPr="00844C55">
        <w:rPr>
          <w:rFonts w:ascii="Times-Roman" w:eastAsia="SimSun" w:hAnsi="Times-Roman" w:cs="Times-Roman"/>
          <w:szCs w:val="24"/>
          <w:lang w:val="en-GB" w:bidi="ar-SA"/>
        </w:rPr>
        <w:t xml:space="preserve"> </w:t>
      </w:r>
      <w:r w:rsidR="009779B5" w:rsidRPr="00844C55">
        <w:rPr>
          <w:rFonts w:eastAsia="SimSun"/>
          <w:lang w:val="en-GB"/>
        </w:rPr>
        <w:t xml:space="preserve">on a case by case </w:t>
      </w:r>
      <w:proofErr w:type="gramStart"/>
      <w:r w:rsidR="009779B5" w:rsidRPr="00844C55">
        <w:rPr>
          <w:rFonts w:eastAsia="SimSun"/>
          <w:lang w:val="en-GB"/>
        </w:rPr>
        <w:t>basis</w:t>
      </w:r>
      <w:r w:rsidR="00A14E85" w:rsidRPr="00844C55">
        <w:rPr>
          <w:rFonts w:ascii="Times-Roman" w:eastAsia="SimSun" w:hAnsi="Times-Roman" w:cs="Times-Roman"/>
          <w:szCs w:val="24"/>
          <w:lang w:val="en-GB" w:bidi="ar-SA"/>
        </w:rPr>
        <w:t>,</w:t>
      </w:r>
      <w:proofErr w:type="gramEnd"/>
      <w:r w:rsidR="00A14E85" w:rsidRPr="00844C55">
        <w:rPr>
          <w:rFonts w:ascii="Times-Roman" w:eastAsia="SimSun" w:hAnsi="Times-Roman" w:cs="Times-Roman"/>
          <w:szCs w:val="24"/>
          <w:lang w:val="en-GB" w:bidi="ar-SA"/>
        </w:rPr>
        <w:t xml:space="preserve"> </w:t>
      </w:r>
      <w:r w:rsidR="00A14E85" w:rsidRPr="00844C55">
        <w:rPr>
          <w:rFonts w:eastAsia="SimSun"/>
          <w:lang w:val="en-GB"/>
        </w:rPr>
        <w:t xml:space="preserve">inter alia, </w:t>
      </w:r>
      <w:r w:rsidR="00A14E85" w:rsidRPr="00844C55">
        <w:rPr>
          <w:i/>
          <w:iCs/>
          <w:lang w:val="en-GB"/>
        </w:rPr>
        <w:t>Magi</w:t>
      </w:r>
      <w:r w:rsidR="00A14E85" w:rsidRPr="00844C55">
        <w:rPr>
          <w:rFonts w:eastAsia="SimSun"/>
          <w:i/>
          <w:iCs/>
          <w:lang w:val="en-GB"/>
        </w:rPr>
        <w:t>l</w:t>
      </w:r>
      <w:r w:rsidR="00A14E85" w:rsidRPr="00844C55">
        <w:rPr>
          <w:i/>
          <w:iCs/>
          <w:lang w:val="en-GB"/>
        </w:rPr>
        <w:t>l</w:t>
      </w:r>
      <w:r w:rsidR="00A14E85" w:rsidRPr="00844C55">
        <w:rPr>
          <w:rStyle w:val="FootnoteReference"/>
          <w:i/>
          <w:iCs/>
          <w:lang w:val="en-GB"/>
        </w:rPr>
        <w:footnoteReference w:id="20"/>
      </w:r>
      <w:r w:rsidR="00A14E85" w:rsidRPr="00844C55">
        <w:rPr>
          <w:rFonts w:eastAsia="SimSun"/>
          <w:i/>
          <w:iCs/>
          <w:lang w:val="en-GB"/>
        </w:rPr>
        <w:t xml:space="preserve">, </w:t>
      </w:r>
      <w:r w:rsidR="00A14E85" w:rsidRPr="00844C55">
        <w:rPr>
          <w:i/>
          <w:iCs/>
          <w:lang w:val="en-GB"/>
        </w:rPr>
        <w:t>IMS Health</w:t>
      </w:r>
      <w:r w:rsidR="00A14E85" w:rsidRPr="00844C55">
        <w:rPr>
          <w:rStyle w:val="FootnoteReference"/>
          <w:lang w:val="en-GB"/>
        </w:rPr>
        <w:footnoteReference w:id="21"/>
      </w:r>
      <w:r w:rsidR="00A14E85" w:rsidRPr="00844C55">
        <w:rPr>
          <w:rFonts w:eastAsia="SimSun"/>
          <w:i/>
          <w:iCs/>
          <w:lang w:val="en-GB"/>
        </w:rPr>
        <w:t xml:space="preserve"> </w:t>
      </w:r>
      <w:r w:rsidR="00A14E85" w:rsidRPr="00844C55">
        <w:rPr>
          <w:rFonts w:eastAsia="SimSun"/>
          <w:iCs/>
          <w:lang w:val="en-GB"/>
        </w:rPr>
        <w:t xml:space="preserve">and </w:t>
      </w:r>
      <w:r w:rsidR="00A14E85" w:rsidRPr="00844C55">
        <w:rPr>
          <w:i/>
          <w:lang w:val="en-GB"/>
        </w:rPr>
        <w:t>Microsoft</w:t>
      </w:r>
      <w:r w:rsidR="00A14E85" w:rsidRPr="00844C55">
        <w:rPr>
          <w:rFonts w:eastAsia="SimSun"/>
          <w:i/>
          <w:lang w:val="en-GB"/>
        </w:rPr>
        <w:t xml:space="preserve"> Interoperability</w:t>
      </w:r>
      <w:r w:rsidR="00A14E85" w:rsidRPr="00844C55">
        <w:rPr>
          <w:rStyle w:val="FootnoteReference"/>
          <w:i/>
          <w:lang w:val="en-GB"/>
        </w:rPr>
        <w:footnoteReference w:id="22"/>
      </w:r>
      <w:r w:rsidR="0035029A" w:rsidRPr="00844C55">
        <w:rPr>
          <w:rFonts w:eastAsia="SimSun"/>
          <w:lang w:val="en-GB"/>
        </w:rPr>
        <w:t xml:space="preserve">. </w:t>
      </w:r>
      <w:r w:rsidR="00A14E85">
        <w:rPr>
          <w:rFonts w:eastAsia="SimSun" w:hint="eastAsia"/>
          <w:lang w:val="en-GB"/>
        </w:rPr>
        <w:t xml:space="preserve">It is established that </w:t>
      </w:r>
      <w:r w:rsidR="00A14E85" w:rsidRPr="00844C55">
        <w:rPr>
          <w:rFonts w:eastAsia="SimSun"/>
          <w:lang w:val="en-GB"/>
        </w:rPr>
        <w:t>compulsory license can be ordered</w:t>
      </w:r>
      <w:r w:rsidR="00A14E85">
        <w:rPr>
          <w:rFonts w:eastAsia="SimSun" w:hint="eastAsia"/>
          <w:lang w:val="en-GB"/>
        </w:rPr>
        <w:t xml:space="preserve"> under</w:t>
      </w:r>
      <w:r w:rsidR="003733D1">
        <w:rPr>
          <w:rFonts w:eastAsia="SimSun"/>
          <w:lang w:val="en-GB"/>
        </w:rPr>
        <w:t xml:space="preserve"> “exceptional circumstances”</w:t>
      </w:r>
      <w:r w:rsidR="003733D1">
        <w:rPr>
          <w:rFonts w:eastAsia="SimSun" w:hint="eastAsia"/>
          <w:lang w:val="en-GB"/>
        </w:rPr>
        <w:t xml:space="preserve">. </w:t>
      </w:r>
      <w:r w:rsidR="009C153D" w:rsidRPr="00844C55">
        <w:rPr>
          <w:rFonts w:eastAsia="SimSun"/>
          <w:lang w:val="en-GB"/>
        </w:rPr>
        <w:t xml:space="preserve">Despite of the legal uncertainties underlying vague language and inconsistent provisions, </w:t>
      </w:r>
      <w:r w:rsidR="00215BE9" w:rsidRPr="00844C55">
        <w:rPr>
          <w:rFonts w:eastAsia="SimSun"/>
          <w:lang w:val="en-GB"/>
        </w:rPr>
        <w:t xml:space="preserve">the case law has set up a four-thong test for refusals to license </w:t>
      </w:r>
      <w:r w:rsidR="001413C9" w:rsidRPr="00844C55">
        <w:rPr>
          <w:rFonts w:eastAsia="SimSun"/>
          <w:lang w:val="en-GB"/>
        </w:rPr>
        <w:t xml:space="preserve">within the meaning of </w:t>
      </w:r>
      <w:r w:rsidR="009C153D" w:rsidRPr="00844C55">
        <w:rPr>
          <w:rFonts w:eastAsia="SimSun"/>
          <w:lang w:val="en-GB"/>
        </w:rPr>
        <w:t>Article 102</w:t>
      </w:r>
      <w:r w:rsidR="001413C9" w:rsidRPr="00844C55">
        <w:rPr>
          <w:rFonts w:eastAsia="SimSun"/>
          <w:lang w:val="en-GB"/>
        </w:rPr>
        <w:t xml:space="preserve"> which is also been accepted by </w:t>
      </w:r>
      <w:r w:rsidR="005503DC">
        <w:rPr>
          <w:rFonts w:eastAsia="SimSun" w:hint="eastAsia"/>
          <w:lang w:val="en-GB"/>
        </w:rPr>
        <w:t xml:space="preserve">the </w:t>
      </w:r>
      <w:r w:rsidR="005503DC">
        <w:rPr>
          <w:rFonts w:eastAsia="SimSun"/>
          <w:lang w:val="en-GB"/>
        </w:rPr>
        <w:t>Commission in</w:t>
      </w:r>
      <w:r w:rsidR="001413C9" w:rsidRPr="00844C55">
        <w:rPr>
          <w:rFonts w:eastAsia="SimSun"/>
          <w:lang w:val="en-GB"/>
        </w:rPr>
        <w:t xml:space="preserve"> the </w:t>
      </w:r>
      <w:r w:rsidR="001413C9" w:rsidRPr="00844C55">
        <w:rPr>
          <w:rFonts w:ascii="Times-Roman" w:eastAsia="SimSun" w:hAnsi="Times-Roman" w:cs="Times-Roman"/>
          <w:szCs w:val="24"/>
          <w:lang w:val="en-GB" w:bidi="ar-SA"/>
        </w:rPr>
        <w:t>Article 82 Application Guidance of 2009</w:t>
      </w:r>
      <w:r w:rsidR="009C153D" w:rsidRPr="00844C55">
        <w:rPr>
          <w:rFonts w:eastAsia="SimSun"/>
          <w:lang w:val="en-GB"/>
        </w:rPr>
        <w:t>.</w:t>
      </w:r>
      <w:r w:rsidR="00215BE9" w:rsidRPr="00844C55">
        <w:rPr>
          <w:rStyle w:val="FootnoteReference"/>
          <w:rFonts w:eastAsia="SimSun"/>
          <w:lang w:val="en-GB"/>
        </w:rPr>
        <w:footnoteReference w:id="23"/>
      </w:r>
      <w:r w:rsidR="009C153D" w:rsidRPr="00844C55">
        <w:rPr>
          <w:rFonts w:eastAsia="SimSun"/>
          <w:lang w:val="en-GB"/>
        </w:rPr>
        <w:t xml:space="preserve"> </w:t>
      </w:r>
    </w:p>
    <w:p w:rsidR="00005EA4" w:rsidRPr="00844C55" w:rsidRDefault="009E77BD" w:rsidP="00005EA4">
      <w:pPr>
        <w:pStyle w:val="Heading4"/>
        <w:rPr>
          <w:rFonts w:eastAsia="SimSun"/>
          <w:lang w:val="en-GB"/>
        </w:rPr>
      </w:pPr>
      <w:r w:rsidRPr="00844C55">
        <w:rPr>
          <w:rFonts w:eastAsia="SimSun"/>
          <w:lang w:val="en-GB"/>
        </w:rPr>
        <w:t xml:space="preserve">Preventing the </w:t>
      </w:r>
      <w:r w:rsidR="00710C06" w:rsidRPr="00844C55">
        <w:rPr>
          <w:rFonts w:eastAsia="SimSun"/>
          <w:lang w:val="en-GB"/>
        </w:rPr>
        <w:t>Emergence</w:t>
      </w:r>
      <w:r w:rsidRPr="00844C55">
        <w:rPr>
          <w:rFonts w:eastAsia="SimSun"/>
          <w:lang w:val="en-GB"/>
        </w:rPr>
        <w:t xml:space="preserve"> of a </w:t>
      </w:r>
      <w:r w:rsidR="00005EA4" w:rsidRPr="00844C55">
        <w:rPr>
          <w:rFonts w:eastAsia="SimSun"/>
          <w:lang w:val="en-GB"/>
        </w:rPr>
        <w:t>New Product</w:t>
      </w:r>
    </w:p>
    <w:p w:rsidR="0018268C" w:rsidRPr="00844C55" w:rsidRDefault="002450DF" w:rsidP="00164F1D">
      <w:pPr>
        <w:rPr>
          <w:rFonts w:eastAsia="SimSun" w:cs="Times New Roman"/>
          <w:sz w:val="20"/>
          <w:szCs w:val="20"/>
          <w:lang w:val="en-GB"/>
        </w:rPr>
      </w:pPr>
      <w:r w:rsidRPr="00844C55">
        <w:rPr>
          <w:rFonts w:eastAsia="SimSun"/>
          <w:lang w:val="en-GB"/>
        </w:rPr>
        <w:t xml:space="preserve">Compulsory licences of </w:t>
      </w:r>
      <w:r w:rsidR="00606FCB">
        <w:rPr>
          <w:rFonts w:eastAsia="SimSun"/>
          <w:lang w:val="en-GB"/>
        </w:rPr>
        <w:t xml:space="preserve">IPRs </w:t>
      </w:r>
      <w:r w:rsidRPr="00844C55">
        <w:rPr>
          <w:rFonts w:eastAsia="SimSun"/>
          <w:lang w:val="en-GB"/>
        </w:rPr>
        <w:t>can be ordered when the refusal to license would prevent</w:t>
      </w:r>
      <w:r w:rsidR="00710C06" w:rsidRPr="00844C55">
        <w:rPr>
          <w:rFonts w:eastAsia="SimSun"/>
          <w:lang w:val="en-GB"/>
        </w:rPr>
        <w:t xml:space="preserve"> the emergence of a new produc</w:t>
      </w:r>
      <w:r w:rsidRPr="00844C55">
        <w:rPr>
          <w:rFonts w:eastAsia="SimSun"/>
          <w:lang w:val="en-GB"/>
        </w:rPr>
        <w:t xml:space="preserve">t </w:t>
      </w:r>
      <w:r w:rsidR="00873445" w:rsidRPr="00844C55">
        <w:rPr>
          <w:rFonts w:eastAsia="SimSun"/>
          <w:lang w:val="en-GB"/>
        </w:rPr>
        <w:t xml:space="preserve">for </w:t>
      </w:r>
      <w:r w:rsidRPr="00844C55">
        <w:rPr>
          <w:rFonts w:eastAsia="SimSun"/>
          <w:lang w:val="en-GB"/>
        </w:rPr>
        <w:t xml:space="preserve">which </w:t>
      </w:r>
      <w:r w:rsidR="00873445" w:rsidRPr="00844C55">
        <w:rPr>
          <w:rFonts w:eastAsia="SimSun"/>
          <w:lang w:val="en-GB"/>
        </w:rPr>
        <w:t xml:space="preserve">there is </w:t>
      </w:r>
      <w:r w:rsidRPr="00844C55">
        <w:rPr>
          <w:rFonts w:eastAsia="SimSun"/>
          <w:lang w:val="en-GB"/>
        </w:rPr>
        <w:t>potential consumer demand</w:t>
      </w:r>
      <w:r w:rsidR="00710C06" w:rsidRPr="00844C55">
        <w:rPr>
          <w:rFonts w:eastAsia="SimSun"/>
          <w:lang w:val="en-GB"/>
        </w:rPr>
        <w:t xml:space="preserve">. </w:t>
      </w:r>
      <w:r w:rsidR="00692EF4" w:rsidRPr="00844C55">
        <w:rPr>
          <w:rFonts w:eastAsia="SimSun"/>
          <w:lang w:val="en-GB"/>
        </w:rPr>
        <w:t xml:space="preserve">This condition was first presented in </w:t>
      </w:r>
      <w:r w:rsidR="00692EF4" w:rsidRPr="00844C55">
        <w:rPr>
          <w:i/>
          <w:iCs/>
          <w:lang w:val="en-GB"/>
        </w:rPr>
        <w:t>Magi</w:t>
      </w:r>
      <w:r w:rsidR="00692EF4" w:rsidRPr="00844C55">
        <w:rPr>
          <w:rFonts w:eastAsia="SimSun"/>
          <w:i/>
          <w:iCs/>
          <w:lang w:val="en-GB"/>
        </w:rPr>
        <w:t>l</w:t>
      </w:r>
      <w:r w:rsidR="00692EF4" w:rsidRPr="00844C55">
        <w:rPr>
          <w:i/>
          <w:iCs/>
          <w:lang w:val="en-GB"/>
        </w:rPr>
        <w:t>l</w:t>
      </w:r>
      <w:r w:rsidR="00692EF4" w:rsidRPr="00844C55">
        <w:rPr>
          <w:rFonts w:eastAsia="SimSun"/>
          <w:i/>
          <w:iCs/>
          <w:lang w:val="en-GB"/>
        </w:rPr>
        <w:t>,</w:t>
      </w:r>
      <w:r w:rsidR="00692EF4" w:rsidRPr="00844C55">
        <w:rPr>
          <w:lang w:val="en-GB"/>
        </w:rPr>
        <w:t xml:space="preserve"> the</w:t>
      </w:r>
      <w:r w:rsidR="0021627A" w:rsidRPr="00844C55">
        <w:rPr>
          <w:lang w:val="en-GB"/>
        </w:rPr>
        <w:t xml:space="preserve"> first case in the EU </w:t>
      </w:r>
      <w:r w:rsidR="0021627A" w:rsidRPr="00844C55">
        <w:rPr>
          <w:rFonts w:eastAsia="SimSun"/>
          <w:lang w:val="en-GB"/>
        </w:rPr>
        <w:t>addressing</w:t>
      </w:r>
      <w:r w:rsidR="0021627A" w:rsidRPr="00844C55">
        <w:rPr>
          <w:lang w:val="en-GB"/>
        </w:rPr>
        <w:t xml:space="preserve"> the circumstance in which a refusal to license </w:t>
      </w:r>
      <w:r w:rsidR="00692EF4" w:rsidRPr="00844C55">
        <w:rPr>
          <w:lang w:val="en-GB"/>
        </w:rPr>
        <w:t>could violate Article 102</w:t>
      </w:r>
      <w:r w:rsidR="0021627A" w:rsidRPr="00844C55">
        <w:rPr>
          <w:lang w:val="en-GB"/>
        </w:rPr>
        <w:t xml:space="preserve">. In 1985, Magill TV Guide Ltd attempted to publish a comprehensive weekly television guide which would include several Irish channels’ weekly listings, but it was prevented from doing so by the broadcasters as they did not want their copyrighted weekly listing to be reproduced. The Commission decided that there was a </w:t>
      </w:r>
      <w:r w:rsidR="0021627A" w:rsidRPr="00844C55">
        <w:rPr>
          <w:lang w:val="en-GB"/>
        </w:rPr>
        <w:lastRenderedPageBreak/>
        <w:t xml:space="preserve">breach of Article </w:t>
      </w:r>
      <w:r w:rsidR="0021627A" w:rsidRPr="00844C55">
        <w:rPr>
          <w:rFonts w:eastAsia="SimSun"/>
          <w:lang w:val="en-GB"/>
        </w:rPr>
        <w:t>102</w:t>
      </w:r>
      <w:r w:rsidR="0021627A" w:rsidRPr="00844C55">
        <w:rPr>
          <w:lang w:val="en-GB"/>
        </w:rPr>
        <w:t xml:space="preserve"> and this decision was supported by the CFI and the European Court of Justice (ECJ). The ECJ confirmed that under “exceptional circumstances”</w:t>
      </w:r>
      <w:bookmarkStart w:id="3" w:name="MO"/>
      <w:r w:rsidR="0021627A" w:rsidRPr="00844C55">
        <w:rPr>
          <w:lang w:val="en-GB"/>
        </w:rPr>
        <w:t xml:space="preserve">, </w:t>
      </w:r>
      <w:bookmarkEnd w:id="3"/>
      <w:r w:rsidR="0021627A" w:rsidRPr="00844C55">
        <w:rPr>
          <w:lang w:val="en-GB"/>
        </w:rPr>
        <w:t xml:space="preserve">the exercise of an exclusive right by an </w:t>
      </w:r>
      <w:r w:rsidR="00606FCB">
        <w:rPr>
          <w:lang w:val="en-GB"/>
        </w:rPr>
        <w:t xml:space="preserve">IPR </w:t>
      </w:r>
      <w:r w:rsidR="0021627A" w:rsidRPr="00844C55">
        <w:rPr>
          <w:lang w:val="en-GB"/>
        </w:rPr>
        <w:t xml:space="preserve">holder may be subject to potential liability as a violation of Article </w:t>
      </w:r>
      <w:r w:rsidR="0021627A" w:rsidRPr="00844C55">
        <w:rPr>
          <w:rFonts w:eastAsia="SimSun"/>
          <w:lang w:val="en-GB"/>
        </w:rPr>
        <w:t>102</w:t>
      </w:r>
      <w:r w:rsidR="0043456D" w:rsidRPr="00844C55">
        <w:rPr>
          <w:rFonts w:eastAsia="SimSun"/>
          <w:lang w:val="en-GB"/>
        </w:rPr>
        <w:t>,</w:t>
      </w:r>
      <w:r w:rsidR="0021627A" w:rsidRPr="00844C55">
        <w:rPr>
          <w:rStyle w:val="FootnoteReference"/>
          <w:lang w:val="en-GB"/>
        </w:rPr>
        <w:footnoteReference w:id="24"/>
      </w:r>
      <w:r w:rsidR="0021627A" w:rsidRPr="00844C55">
        <w:rPr>
          <w:rFonts w:cs="Times New Roman"/>
          <w:sz w:val="20"/>
          <w:szCs w:val="20"/>
          <w:lang w:val="en-GB"/>
        </w:rPr>
        <w:t xml:space="preserve">  </w:t>
      </w:r>
      <w:r w:rsidR="0043456D" w:rsidRPr="00844C55">
        <w:rPr>
          <w:rFonts w:cs="Times New Roman"/>
          <w:iCs/>
          <w:lang w:val="en-GB"/>
        </w:rPr>
        <w:t>and</w:t>
      </w:r>
      <w:r w:rsidR="0043456D" w:rsidRPr="00844C55">
        <w:rPr>
          <w:rFonts w:cs="Times New Roman"/>
          <w:i/>
          <w:lang w:val="en-GB"/>
        </w:rPr>
        <w:t xml:space="preserve"> </w:t>
      </w:r>
      <w:r w:rsidR="0043456D" w:rsidRPr="00844C55">
        <w:rPr>
          <w:rFonts w:cs="Times New Roman"/>
          <w:iCs/>
          <w:lang w:val="en-GB"/>
        </w:rPr>
        <w:t xml:space="preserve">laid down an open ended test of “exceptional </w:t>
      </w:r>
      <w:r w:rsidR="0043456D" w:rsidRPr="00844C55">
        <w:rPr>
          <w:rFonts w:cs="Times New Roman"/>
          <w:iCs/>
          <w:szCs w:val="24"/>
          <w:lang w:val="en-GB"/>
        </w:rPr>
        <w:t>circumstances</w:t>
      </w:r>
      <w:r w:rsidR="0043456D" w:rsidRPr="00844C55">
        <w:rPr>
          <w:rFonts w:eastAsia="SimSun" w:cs="Times New Roman"/>
          <w:iCs/>
          <w:szCs w:val="24"/>
          <w:lang w:val="en-GB"/>
        </w:rPr>
        <w:t xml:space="preserve">” </w:t>
      </w:r>
      <w:r w:rsidR="005503DC">
        <w:rPr>
          <w:rFonts w:eastAsia="SimSun" w:cs="Times New Roman"/>
          <w:iCs/>
          <w:szCs w:val="24"/>
          <w:lang w:val="en-GB"/>
        </w:rPr>
        <w:t>consist</w:t>
      </w:r>
      <w:r w:rsidR="005503DC">
        <w:rPr>
          <w:rFonts w:eastAsia="SimSun" w:cs="Times New Roman" w:hint="eastAsia"/>
          <w:iCs/>
          <w:szCs w:val="24"/>
          <w:lang w:val="en-GB"/>
        </w:rPr>
        <w:t>ing</w:t>
      </w:r>
      <w:r w:rsidR="0043456D" w:rsidRPr="00844C55">
        <w:rPr>
          <w:rFonts w:eastAsia="SimSun" w:cs="Times New Roman"/>
          <w:iCs/>
          <w:szCs w:val="24"/>
          <w:lang w:val="en-GB"/>
        </w:rPr>
        <w:t xml:space="preserve"> of </w:t>
      </w:r>
      <w:r w:rsidR="005503DC">
        <w:rPr>
          <w:rFonts w:eastAsia="SimSun" w:cs="Times New Roman" w:hint="eastAsia"/>
          <w:iCs/>
          <w:szCs w:val="24"/>
          <w:lang w:val="en-GB"/>
        </w:rPr>
        <w:t>some</w:t>
      </w:r>
      <w:r w:rsidR="0043456D" w:rsidRPr="00844C55">
        <w:rPr>
          <w:rFonts w:eastAsia="SimSun" w:cs="Times New Roman"/>
          <w:iCs/>
          <w:szCs w:val="24"/>
          <w:lang w:val="en-GB"/>
        </w:rPr>
        <w:t xml:space="preserve"> conditions</w:t>
      </w:r>
      <w:r w:rsidR="005503DC">
        <w:rPr>
          <w:rFonts w:eastAsia="SimSun" w:cs="Garamond" w:hint="eastAsia"/>
          <w:color w:val="000000"/>
          <w:szCs w:val="24"/>
          <w:lang w:val="en-GB"/>
        </w:rPr>
        <w:t>, of which p</w:t>
      </w:r>
      <w:r w:rsidR="0043456D" w:rsidRPr="00844C55">
        <w:rPr>
          <w:rFonts w:eastAsia="SimSun"/>
          <w:lang w:val="en-GB"/>
        </w:rPr>
        <w:t>revent</w:t>
      </w:r>
      <w:r w:rsidR="00FD494B" w:rsidRPr="00844C55">
        <w:rPr>
          <w:rFonts w:eastAsia="SimSun"/>
          <w:lang w:val="en-GB"/>
        </w:rPr>
        <w:t>ing</w:t>
      </w:r>
      <w:r w:rsidR="0043456D" w:rsidRPr="00844C55">
        <w:rPr>
          <w:rFonts w:eastAsia="SimSun"/>
          <w:lang w:val="en-GB"/>
        </w:rPr>
        <w:t xml:space="preserve"> the emergence of a new product</w:t>
      </w:r>
      <w:r w:rsidR="00FD494B" w:rsidRPr="00844C55">
        <w:rPr>
          <w:rFonts w:eastAsia="SimSun"/>
          <w:lang w:val="en-GB"/>
        </w:rPr>
        <w:t xml:space="preserve"> is the first one.</w:t>
      </w:r>
    </w:p>
    <w:p w:rsidR="0043456D" w:rsidRPr="00844C55" w:rsidRDefault="0043456D" w:rsidP="00CE18D4">
      <w:pPr>
        <w:ind w:left="720"/>
        <w:rPr>
          <w:rFonts w:eastAsia="Times New Roman" w:cs="Times New Roman"/>
          <w:iCs/>
          <w:color w:val="000000"/>
          <w:szCs w:val="24"/>
          <w:shd w:val="clear" w:color="auto" w:fill="FFFFFF"/>
          <w:lang w:val="en-GB"/>
        </w:rPr>
      </w:pPr>
      <w:r w:rsidRPr="00844C55">
        <w:rPr>
          <w:rFonts w:eastAsia="SimSun" w:cs="Times New Roman"/>
          <w:szCs w:val="24"/>
          <w:shd w:val="clear" w:color="auto" w:fill="FFFFFF"/>
          <w:lang w:val="en-GB"/>
        </w:rPr>
        <w:t>“</w:t>
      </w:r>
      <w:r w:rsidRPr="00844C55">
        <w:rPr>
          <w:rFonts w:cs="Times New Roman"/>
          <w:iCs/>
          <w:color w:val="000000"/>
          <w:szCs w:val="24"/>
          <w:shd w:val="clear" w:color="auto" w:fill="FFFFFF"/>
          <w:lang w:val="en-GB"/>
        </w:rPr>
        <w:t>The appellants' refusal to provide basic information by relying on national copyright provisions thus prevented the appearance of a new product, a comprehensive weekly guide to television programmes, which the appellants did not offer and for which there was a potential consumer demand. Such refusal constitutes an abuse under heading (b) of the second paragraph of Article 86 of the Treaty.</w:t>
      </w:r>
      <w:r w:rsidRPr="00844C55">
        <w:rPr>
          <w:rFonts w:eastAsia="SimSun" w:cs="Times New Roman"/>
          <w:szCs w:val="24"/>
          <w:shd w:val="clear" w:color="auto" w:fill="FFFFFF"/>
          <w:lang w:val="en-GB"/>
        </w:rPr>
        <w:t>”</w:t>
      </w:r>
      <w:r w:rsidRPr="00844C55">
        <w:rPr>
          <w:rStyle w:val="FootnoteReference"/>
          <w:rFonts w:eastAsia="SimSun" w:cs="Times New Roman"/>
          <w:szCs w:val="24"/>
          <w:shd w:val="clear" w:color="auto" w:fill="FFFFFF"/>
          <w:lang w:val="en-GB"/>
        </w:rPr>
        <w:footnoteReference w:id="25"/>
      </w:r>
      <w:r w:rsidRPr="00844C55">
        <w:rPr>
          <w:rFonts w:cs="Times New Roman"/>
          <w:szCs w:val="24"/>
          <w:shd w:val="clear" w:color="auto" w:fill="FFFFFF"/>
          <w:lang w:val="en-GB"/>
        </w:rPr>
        <w:t xml:space="preserve"> </w:t>
      </w:r>
    </w:p>
    <w:p w:rsidR="00100579" w:rsidRPr="00844C55" w:rsidRDefault="00873445" w:rsidP="00100579">
      <w:pPr>
        <w:rPr>
          <w:rFonts w:eastAsia="SimSun"/>
          <w:lang w:val="en-GB"/>
        </w:rPr>
      </w:pPr>
      <w:r w:rsidRPr="00844C55">
        <w:rPr>
          <w:lang w:val="en-GB"/>
        </w:rPr>
        <w:t xml:space="preserve">This </w:t>
      </w:r>
      <w:r w:rsidR="00AF0E5C" w:rsidRPr="00844C55">
        <w:rPr>
          <w:rFonts w:eastAsia="SimSun"/>
          <w:lang w:val="en-GB"/>
        </w:rPr>
        <w:t>condition was upheld</w:t>
      </w:r>
      <w:r w:rsidR="00532A33" w:rsidRPr="00844C55">
        <w:rPr>
          <w:rFonts w:eastAsia="SimSun"/>
          <w:lang w:val="en-GB"/>
        </w:rPr>
        <w:t xml:space="preserve"> and developed</w:t>
      </w:r>
      <w:r w:rsidR="00AF0E5C" w:rsidRPr="00844C55">
        <w:rPr>
          <w:rFonts w:eastAsia="SimSun"/>
          <w:lang w:val="en-GB"/>
        </w:rPr>
        <w:t xml:space="preserve"> by </w:t>
      </w:r>
      <w:r w:rsidR="00AF0E5C" w:rsidRPr="00844C55">
        <w:rPr>
          <w:i/>
          <w:iCs/>
          <w:lang w:val="en-GB"/>
        </w:rPr>
        <w:t>IMS Health</w:t>
      </w:r>
      <w:r w:rsidR="00AF0E5C" w:rsidRPr="00844C55">
        <w:rPr>
          <w:rFonts w:eastAsia="SimSun"/>
          <w:i/>
          <w:iCs/>
          <w:lang w:val="en-GB"/>
        </w:rPr>
        <w:t xml:space="preserve"> </w:t>
      </w:r>
      <w:r w:rsidR="00AF0E5C" w:rsidRPr="00844C55">
        <w:rPr>
          <w:rFonts w:eastAsia="SimSun"/>
          <w:iCs/>
          <w:lang w:val="en-GB"/>
        </w:rPr>
        <w:t xml:space="preserve">and </w:t>
      </w:r>
      <w:r w:rsidR="00AF0E5C" w:rsidRPr="00844C55">
        <w:rPr>
          <w:i/>
          <w:lang w:val="en-GB"/>
        </w:rPr>
        <w:t>Microsoft</w:t>
      </w:r>
      <w:r w:rsidR="00AF0E5C" w:rsidRPr="00844C55">
        <w:rPr>
          <w:rFonts w:eastAsia="SimSun"/>
          <w:i/>
          <w:lang w:val="en-GB"/>
        </w:rPr>
        <w:t xml:space="preserve"> Interoperability.</w:t>
      </w:r>
      <w:r w:rsidR="00CF407A" w:rsidRPr="00844C55">
        <w:rPr>
          <w:rFonts w:ascii="Arial" w:hAnsi="Arial" w:cs="Arial"/>
          <w:color w:val="000000"/>
          <w:sz w:val="27"/>
          <w:szCs w:val="27"/>
          <w:shd w:val="clear" w:color="auto" w:fill="FFFFFF"/>
          <w:lang w:val="en-GB"/>
        </w:rPr>
        <w:t xml:space="preserve"> </w:t>
      </w:r>
      <w:r w:rsidR="00CF407A" w:rsidRPr="00844C55">
        <w:rPr>
          <w:i/>
          <w:iCs/>
          <w:lang w:val="en-GB"/>
        </w:rPr>
        <w:t>IMS Health</w:t>
      </w:r>
      <w:r w:rsidR="00CF407A" w:rsidRPr="00844C55">
        <w:rPr>
          <w:rFonts w:eastAsia="SimSun"/>
          <w:i/>
          <w:iCs/>
          <w:lang w:val="en-GB"/>
        </w:rPr>
        <w:t xml:space="preserve"> </w:t>
      </w:r>
      <w:r w:rsidR="00CF407A" w:rsidRPr="00844C55">
        <w:rPr>
          <w:rFonts w:eastAsia="SimSun"/>
          <w:iCs/>
          <w:szCs w:val="24"/>
          <w:lang w:val="en-GB"/>
        </w:rPr>
        <w:t xml:space="preserve">emphasized that </w:t>
      </w:r>
      <w:r w:rsidR="00CF407A" w:rsidRPr="00844C55">
        <w:rPr>
          <w:rFonts w:cs="Times New Roman"/>
          <w:szCs w:val="24"/>
          <w:lang w:val="en-GB" w:bidi="ar-SA"/>
        </w:rPr>
        <w:t>when assessing</w:t>
      </w:r>
      <w:r w:rsidR="00CF407A" w:rsidRPr="00844C55">
        <w:rPr>
          <w:rFonts w:eastAsia="SimSun" w:cs="Times New Roman"/>
          <w:szCs w:val="24"/>
          <w:lang w:val="en-GB" w:bidi="ar-SA"/>
        </w:rPr>
        <w:t xml:space="preserve"> </w:t>
      </w:r>
      <w:r w:rsidR="00CF407A" w:rsidRPr="00844C55">
        <w:rPr>
          <w:rFonts w:cs="Times New Roman"/>
          <w:szCs w:val="24"/>
          <w:lang w:val="en-GB" w:bidi="ar-SA"/>
        </w:rPr>
        <w:t>the circumstance relating to the appearance of a new product</w:t>
      </w:r>
      <w:r w:rsidR="00CF407A" w:rsidRPr="00844C55">
        <w:rPr>
          <w:rFonts w:eastAsia="SimSun" w:cs="Times New Roman"/>
          <w:szCs w:val="24"/>
          <w:lang w:val="en-GB" w:bidi="ar-SA"/>
        </w:rPr>
        <w:t>,</w:t>
      </w:r>
      <w:r w:rsidR="00CF407A" w:rsidRPr="00844C55">
        <w:rPr>
          <w:rFonts w:eastAsia="SimSun"/>
          <w:iCs/>
          <w:szCs w:val="24"/>
          <w:lang w:val="en-GB"/>
        </w:rPr>
        <w:t xml:space="preserve"> “</w:t>
      </w:r>
      <w:r w:rsidR="00CF407A" w:rsidRPr="00844C55">
        <w:rPr>
          <w:rFonts w:eastAsia="SimSun"/>
          <w:szCs w:val="24"/>
          <w:lang w:val="en-GB"/>
        </w:rPr>
        <w:t>in the</w:t>
      </w:r>
      <w:r w:rsidR="00CF407A" w:rsidRPr="00844C55">
        <w:rPr>
          <w:rFonts w:eastAsia="SimSun"/>
          <w:lang w:val="en-GB"/>
        </w:rPr>
        <w:t xml:space="preserve"> balancing of the interest in protection of the intellectual property right and the economic freedom of its owner against the interest in protection of free competition, the latter can prevail only where refusal to grant a licence prevents the development of the secondary market to the detriment of consumers.”</w:t>
      </w:r>
      <w:r w:rsidR="00CF407A" w:rsidRPr="00844C55">
        <w:rPr>
          <w:rStyle w:val="FootnoteReference"/>
          <w:rFonts w:eastAsia="SimSun"/>
          <w:lang w:val="en-GB"/>
        </w:rPr>
        <w:footnoteReference w:id="26"/>
      </w:r>
      <w:r w:rsidR="00CF407A" w:rsidRPr="00844C55">
        <w:rPr>
          <w:rFonts w:eastAsia="SimSun"/>
          <w:lang w:val="en-GB"/>
        </w:rPr>
        <w:t xml:space="preserve"> </w:t>
      </w:r>
      <w:r w:rsidR="00100579" w:rsidRPr="00844C55">
        <w:rPr>
          <w:rFonts w:eastAsia="SimSun"/>
          <w:lang w:val="en-GB"/>
        </w:rPr>
        <w:t xml:space="preserve">The CFI </w:t>
      </w:r>
      <w:r w:rsidR="00532A33" w:rsidRPr="00844C55">
        <w:rPr>
          <w:rFonts w:eastAsia="SimSun"/>
          <w:lang w:val="en-GB"/>
        </w:rPr>
        <w:t xml:space="preserve">confirmed in </w:t>
      </w:r>
      <w:r w:rsidR="00100579" w:rsidRPr="00844C55">
        <w:rPr>
          <w:i/>
          <w:lang w:val="en-GB"/>
        </w:rPr>
        <w:t>Microsoft</w:t>
      </w:r>
      <w:r w:rsidR="00100579" w:rsidRPr="00844C55">
        <w:rPr>
          <w:rFonts w:eastAsia="SimSun"/>
          <w:i/>
          <w:lang w:val="en-GB"/>
        </w:rPr>
        <w:t xml:space="preserve"> Interoperability</w:t>
      </w:r>
      <w:r w:rsidR="00532A33" w:rsidRPr="00844C55">
        <w:rPr>
          <w:rFonts w:eastAsia="SimSun"/>
          <w:i/>
          <w:lang w:val="en-GB"/>
        </w:rPr>
        <w:t xml:space="preserve"> </w:t>
      </w:r>
      <w:r w:rsidR="00532A33" w:rsidRPr="00844C55">
        <w:rPr>
          <w:rFonts w:eastAsia="SimSun"/>
          <w:lang w:val="en-GB"/>
        </w:rPr>
        <w:t xml:space="preserve">that the new product criteria should not be confined by the provisions envisaged in </w:t>
      </w:r>
      <w:r w:rsidR="00532A33" w:rsidRPr="00844C55">
        <w:rPr>
          <w:rFonts w:eastAsia="SimSun"/>
          <w:i/>
          <w:lang w:val="en-GB"/>
        </w:rPr>
        <w:t>Magill</w:t>
      </w:r>
      <w:r w:rsidR="00532A33" w:rsidRPr="00844C55">
        <w:rPr>
          <w:rFonts w:eastAsia="SimSun"/>
          <w:lang w:val="en-GB"/>
        </w:rPr>
        <w:t xml:space="preserve"> and </w:t>
      </w:r>
      <w:r w:rsidR="00532A33" w:rsidRPr="00844C55">
        <w:rPr>
          <w:rFonts w:eastAsia="SimSun"/>
          <w:i/>
          <w:lang w:val="en-GB"/>
        </w:rPr>
        <w:t>IMS Health</w:t>
      </w:r>
      <w:r w:rsidR="00532A33" w:rsidRPr="00844C55">
        <w:rPr>
          <w:rFonts w:eastAsia="SimSun"/>
          <w:lang w:val="en-GB"/>
        </w:rPr>
        <w:t xml:space="preserve"> and </w:t>
      </w:r>
      <w:r w:rsidR="00100579" w:rsidRPr="00844C55">
        <w:rPr>
          <w:rFonts w:eastAsia="SimSun"/>
          <w:lang w:val="en-GB"/>
        </w:rPr>
        <w:t>such prejudice may arise where there is a limitation not only of production or markets, but also of technical development.</w:t>
      </w:r>
      <w:r w:rsidR="00532A33" w:rsidRPr="00844C55">
        <w:rPr>
          <w:rStyle w:val="FootnoteReference"/>
          <w:rFonts w:eastAsia="SimSun"/>
          <w:lang w:val="en-GB"/>
        </w:rPr>
        <w:footnoteReference w:id="27"/>
      </w:r>
    </w:p>
    <w:p w:rsidR="00873445" w:rsidRPr="00844C55" w:rsidRDefault="000915DE" w:rsidP="000915DE">
      <w:pPr>
        <w:pStyle w:val="Heading4"/>
        <w:rPr>
          <w:rFonts w:eastAsia="SimSun" w:cstheme="minorBidi"/>
          <w:lang w:val="en-GB"/>
        </w:rPr>
      </w:pPr>
      <w:r w:rsidRPr="00844C55">
        <w:rPr>
          <w:lang w:val="en-GB"/>
        </w:rPr>
        <w:t>Absence</w:t>
      </w:r>
      <w:r w:rsidRPr="00844C55">
        <w:rPr>
          <w:lang w:val="en-GB" w:bidi="ar-SA"/>
        </w:rPr>
        <w:t xml:space="preserve"> </w:t>
      </w:r>
      <w:r w:rsidRPr="00844C55">
        <w:rPr>
          <w:rFonts w:eastAsia="SimSun"/>
          <w:lang w:val="en-GB" w:bidi="ar-SA"/>
        </w:rPr>
        <w:t>o</w:t>
      </w:r>
      <w:r w:rsidRPr="00844C55">
        <w:rPr>
          <w:lang w:val="en-GB" w:bidi="ar-SA"/>
        </w:rPr>
        <w:t>f Objective Justification</w:t>
      </w:r>
    </w:p>
    <w:p w:rsidR="0028700F" w:rsidRPr="00844C55" w:rsidRDefault="005503DC" w:rsidP="0028700F">
      <w:pPr>
        <w:rPr>
          <w:rFonts w:eastAsia="SimSun"/>
          <w:shd w:val="clear" w:color="auto" w:fill="FFFFFF"/>
          <w:lang w:val="en-GB"/>
        </w:rPr>
      </w:pPr>
      <w:r>
        <w:rPr>
          <w:rFonts w:eastAsia="SimSun" w:hint="eastAsia"/>
          <w:lang w:val="en-GB"/>
        </w:rPr>
        <w:t>The second condition for</w:t>
      </w:r>
      <w:r w:rsidRPr="00844C55">
        <w:rPr>
          <w:rFonts w:eastAsia="SimSun"/>
          <w:shd w:val="clear" w:color="auto" w:fill="FFFFFF"/>
          <w:lang w:val="en-GB"/>
        </w:rPr>
        <w:t xml:space="preserve"> compulsory licensing under Article 102</w:t>
      </w:r>
      <w:r>
        <w:rPr>
          <w:rFonts w:eastAsia="SimSun" w:hint="eastAsia"/>
          <w:shd w:val="clear" w:color="auto" w:fill="FFFFFF"/>
          <w:lang w:val="en-GB"/>
        </w:rPr>
        <w:t xml:space="preserve"> is absence of objective justification. </w:t>
      </w:r>
      <w:r w:rsidR="0028700F" w:rsidRPr="00844C55">
        <w:rPr>
          <w:rFonts w:eastAsia="SimSun"/>
          <w:lang w:val="en-GB"/>
        </w:rPr>
        <w:t xml:space="preserve">In </w:t>
      </w:r>
      <w:r w:rsidR="0028700F" w:rsidRPr="00844C55">
        <w:rPr>
          <w:rFonts w:eastAsia="SimSun"/>
          <w:i/>
          <w:lang w:val="en-GB"/>
        </w:rPr>
        <w:t>Magill</w:t>
      </w:r>
      <w:r w:rsidR="0028700F" w:rsidRPr="00844C55">
        <w:rPr>
          <w:rFonts w:eastAsia="SimSun"/>
          <w:lang w:val="en-GB"/>
        </w:rPr>
        <w:t xml:space="preserve">, CFI condemned the refusal to license as </w:t>
      </w:r>
      <w:r w:rsidR="0028700F" w:rsidRPr="00844C55">
        <w:rPr>
          <w:shd w:val="clear" w:color="auto" w:fill="FFFFFF"/>
          <w:lang w:val="en-GB"/>
        </w:rPr>
        <w:t>arbitrary in so far as it was not justified either by the specific needs of the broadcasting sector</w:t>
      </w:r>
      <w:r w:rsidR="0028700F" w:rsidRPr="00844C55">
        <w:rPr>
          <w:rFonts w:eastAsia="SimSun"/>
          <w:shd w:val="clear" w:color="auto" w:fill="FFFFFF"/>
          <w:lang w:val="en-GB"/>
        </w:rPr>
        <w:t xml:space="preserve"> </w:t>
      </w:r>
      <w:r w:rsidR="0028700F" w:rsidRPr="00844C55">
        <w:rPr>
          <w:shd w:val="clear" w:color="auto" w:fill="FFFFFF"/>
          <w:lang w:val="en-GB"/>
        </w:rPr>
        <w:t>or by those peculiar to the activity of publishing television magazines</w:t>
      </w:r>
      <w:r w:rsidR="0028700F" w:rsidRPr="00844C55">
        <w:rPr>
          <w:rFonts w:eastAsia="SimSun"/>
          <w:shd w:val="clear" w:color="auto" w:fill="FFFFFF"/>
          <w:lang w:val="en-GB"/>
        </w:rPr>
        <w:t xml:space="preserve"> and i</w:t>
      </w:r>
      <w:r w:rsidR="0028700F" w:rsidRPr="00844C55">
        <w:rPr>
          <w:shd w:val="clear" w:color="auto" w:fill="FFFFFF"/>
          <w:lang w:val="en-GB"/>
        </w:rPr>
        <w:t xml:space="preserve">t was possible for the </w:t>
      </w:r>
      <w:r w:rsidR="00D8492E">
        <w:rPr>
          <w:rFonts w:eastAsia="SimSun"/>
          <w:shd w:val="clear" w:color="auto" w:fill="FFFFFF"/>
          <w:lang w:val="en-GB"/>
        </w:rPr>
        <w:t xml:space="preserve">IPR holder </w:t>
      </w:r>
      <w:r w:rsidR="0028700F" w:rsidRPr="00844C55">
        <w:rPr>
          <w:shd w:val="clear" w:color="auto" w:fill="FFFFFF"/>
          <w:lang w:val="en-GB"/>
        </w:rPr>
        <w:t>to adapt to the conditions of a television magazine market which was open to competition in order to ensure the commercial viability of its weekly publication, the RTE Guide.</w:t>
      </w:r>
      <w:r w:rsidR="0028700F" w:rsidRPr="00844C55">
        <w:rPr>
          <w:rStyle w:val="FootnoteReference"/>
          <w:shd w:val="clear" w:color="auto" w:fill="FFFFFF"/>
          <w:lang w:val="en-GB"/>
        </w:rPr>
        <w:footnoteReference w:id="28"/>
      </w:r>
      <w:r w:rsidR="0028700F" w:rsidRPr="00844C55">
        <w:rPr>
          <w:shd w:val="clear" w:color="auto" w:fill="FFFFFF"/>
          <w:lang w:val="en-GB"/>
        </w:rPr>
        <w:t xml:space="preserve"> </w:t>
      </w:r>
      <w:r w:rsidR="00FC1C8F" w:rsidRPr="00844C55">
        <w:rPr>
          <w:rFonts w:eastAsia="SimSun"/>
          <w:shd w:val="clear" w:color="auto" w:fill="FFFFFF"/>
          <w:lang w:val="en-GB"/>
        </w:rPr>
        <w:t xml:space="preserve">The ECJ </w:t>
      </w:r>
      <w:r w:rsidR="00FC1C8F" w:rsidRPr="00844C55">
        <w:rPr>
          <w:rFonts w:eastAsia="SimSun"/>
          <w:shd w:val="clear" w:color="auto" w:fill="FFFFFF"/>
          <w:lang w:val="en-GB"/>
        </w:rPr>
        <w:lastRenderedPageBreak/>
        <w:t xml:space="preserve">confirmed </w:t>
      </w:r>
      <w:r w:rsidR="00664A7D">
        <w:rPr>
          <w:rFonts w:eastAsia="SimSun" w:hint="eastAsia"/>
          <w:shd w:val="clear" w:color="auto" w:fill="FFFFFF"/>
          <w:lang w:val="en-GB"/>
        </w:rPr>
        <w:t>it</w:t>
      </w:r>
      <w:r w:rsidR="00EA4694" w:rsidRPr="00844C55">
        <w:rPr>
          <w:rFonts w:eastAsia="SimSun"/>
          <w:shd w:val="clear" w:color="auto" w:fill="FFFFFF"/>
          <w:lang w:val="en-GB"/>
        </w:rPr>
        <w:t xml:space="preserve">. </w:t>
      </w:r>
      <w:r w:rsidR="00981302" w:rsidRPr="00844C55">
        <w:rPr>
          <w:rFonts w:eastAsia="SimSun"/>
          <w:i/>
          <w:shd w:val="clear" w:color="auto" w:fill="FFFFFF"/>
          <w:lang w:val="en-GB"/>
        </w:rPr>
        <w:t>IMS Health</w:t>
      </w:r>
      <w:r w:rsidR="00981302" w:rsidRPr="00844C55">
        <w:rPr>
          <w:rFonts w:eastAsia="SimSun"/>
          <w:shd w:val="clear" w:color="auto" w:fill="FFFFFF"/>
          <w:lang w:val="en-GB"/>
        </w:rPr>
        <w:t xml:space="preserve"> </w:t>
      </w:r>
      <w:r w:rsidR="00981302" w:rsidRPr="00844C55">
        <w:rPr>
          <w:lang w:val="en-GB"/>
        </w:rPr>
        <w:t>left the national court to decide whether IMS Health’s refusal</w:t>
      </w:r>
      <w:r w:rsidR="00981302" w:rsidRPr="00844C55">
        <w:rPr>
          <w:rFonts w:eastAsia="SimSun"/>
          <w:lang w:val="en-GB"/>
        </w:rPr>
        <w:t xml:space="preserve"> was justified by objective considerations in light of the facts.</w:t>
      </w:r>
      <w:r w:rsidR="00981302" w:rsidRPr="00844C55">
        <w:rPr>
          <w:rStyle w:val="FootnoteReference"/>
          <w:rFonts w:eastAsia="SimSun"/>
          <w:lang w:val="en-GB"/>
        </w:rPr>
        <w:footnoteReference w:id="29"/>
      </w:r>
      <w:r w:rsidR="00981302" w:rsidRPr="00844C55">
        <w:rPr>
          <w:rFonts w:eastAsia="SimSun"/>
          <w:lang w:val="en-GB"/>
        </w:rPr>
        <w:t xml:space="preserve"> </w:t>
      </w:r>
    </w:p>
    <w:p w:rsidR="00EA4694" w:rsidRPr="00844C55" w:rsidRDefault="00EA4694" w:rsidP="007E2498">
      <w:pPr>
        <w:rPr>
          <w:rFonts w:eastAsia="SimSun" w:cs="Times New Roman"/>
          <w:szCs w:val="24"/>
          <w:shd w:val="clear" w:color="auto" w:fill="FFFFFF"/>
          <w:lang w:val="en-GB"/>
        </w:rPr>
      </w:pPr>
      <w:r w:rsidRPr="00844C55">
        <w:rPr>
          <w:rFonts w:eastAsia="SimSun"/>
          <w:i/>
          <w:shd w:val="clear" w:color="auto" w:fill="FFFFFF"/>
          <w:lang w:val="en-GB"/>
        </w:rPr>
        <w:t>Microsoft Interoperability</w:t>
      </w:r>
      <w:r w:rsidR="000E3F01" w:rsidRPr="00844C55">
        <w:rPr>
          <w:rFonts w:eastAsia="SimSun"/>
          <w:shd w:val="clear" w:color="auto" w:fill="FFFFFF"/>
          <w:lang w:val="en-GB"/>
        </w:rPr>
        <w:t xml:space="preserve"> </w:t>
      </w:r>
      <w:r w:rsidR="0072678B" w:rsidRPr="00844C55">
        <w:rPr>
          <w:rFonts w:eastAsia="SimSun"/>
          <w:shd w:val="clear" w:color="auto" w:fill="FFFFFF"/>
          <w:lang w:val="en-GB"/>
        </w:rPr>
        <w:t>established</w:t>
      </w:r>
      <w:r w:rsidR="000E3F01" w:rsidRPr="00844C55">
        <w:rPr>
          <w:rFonts w:eastAsia="SimSun"/>
          <w:shd w:val="clear" w:color="auto" w:fill="FFFFFF"/>
          <w:lang w:val="en-GB"/>
        </w:rPr>
        <w:t xml:space="preserve"> that the </w:t>
      </w:r>
      <w:r w:rsidR="00380B7F" w:rsidRPr="00844C55">
        <w:rPr>
          <w:rFonts w:eastAsia="SimSun"/>
          <w:shd w:val="clear" w:color="auto" w:fill="FFFFFF"/>
          <w:lang w:val="en-GB"/>
        </w:rPr>
        <w:t>mere fact of holding</w:t>
      </w:r>
      <w:r w:rsidR="009037FA" w:rsidRPr="00844C55">
        <w:rPr>
          <w:rFonts w:eastAsia="SimSun"/>
          <w:shd w:val="clear" w:color="auto" w:fill="FFFFFF"/>
          <w:lang w:val="en-GB"/>
        </w:rPr>
        <w:t xml:space="preserve"> </w:t>
      </w:r>
      <w:r w:rsidR="00606FCB">
        <w:rPr>
          <w:rFonts w:eastAsia="SimSun"/>
          <w:shd w:val="clear" w:color="auto" w:fill="FFFFFF"/>
          <w:lang w:val="en-GB"/>
        </w:rPr>
        <w:t xml:space="preserve">IPRs </w:t>
      </w:r>
      <w:r w:rsidR="000E3F01" w:rsidRPr="00844C55">
        <w:rPr>
          <w:rFonts w:eastAsia="SimSun"/>
          <w:shd w:val="clear" w:color="auto" w:fill="FFFFFF"/>
          <w:lang w:val="en-GB"/>
        </w:rPr>
        <w:t xml:space="preserve">can not </w:t>
      </w:r>
      <w:r w:rsidR="009037FA" w:rsidRPr="00844C55">
        <w:rPr>
          <w:rFonts w:eastAsia="SimSun"/>
          <w:shd w:val="clear" w:color="auto" w:fill="FFFFFF"/>
          <w:lang w:val="en-GB"/>
        </w:rPr>
        <w:t xml:space="preserve">in itself </w:t>
      </w:r>
      <w:r w:rsidR="000E3F01" w:rsidRPr="00844C55">
        <w:rPr>
          <w:rFonts w:eastAsia="SimSun"/>
          <w:shd w:val="clear" w:color="auto" w:fill="FFFFFF"/>
          <w:lang w:val="en-GB"/>
        </w:rPr>
        <w:t>constitute a</w:t>
      </w:r>
      <w:r w:rsidR="009037FA" w:rsidRPr="00844C55">
        <w:rPr>
          <w:rFonts w:eastAsia="SimSun"/>
          <w:shd w:val="clear" w:color="auto" w:fill="FFFFFF"/>
          <w:lang w:val="en-GB"/>
        </w:rPr>
        <w:t>n</w:t>
      </w:r>
      <w:r w:rsidR="000E3F01" w:rsidRPr="00844C55">
        <w:rPr>
          <w:rFonts w:eastAsia="SimSun"/>
          <w:shd w:val="clear" w:color="auto" w:fill="FFFFFF"/>
          <w:lang w:val="en-GB"/>
        </w:rPr>
        <w:t xml:space="preserve"> objective justification for a refusal to license.</w:t>
      </w:r>
      <w:r w:rsidR="000E3F01" w:rsidRPr="00844C55">
        <w:rPr>
          <w:rStyle w:val="FootnoteReference"/>
          <w:rFonts w:eastAsia="SimSun"/>
          <w:shd w:val="clear" w:color="auto" w:fill="FFFFFF"/>
          <w:lang w:val="en-GB"/>
        </w:rPr>
        <w:footnoteReference w:id="30"/>
      </w:r>
      <w:r w:rsidR="000E3F01" w:rsidRPr="00844C55">
        <w:rPr>
          <w:rFonts w:eastAsia="SimSun"/>
          <w:shd w:val="clear" w:color="auto" w:fill="FFFFFF"/>
          <w:lang w:val="en-GB"/>
        </w:rPr>
        <w:t xml:space="preserve"> </w:t>
      </w:r>
      <w:r w:rsidR="0072678B" w:rsidRPr="00844C55">
        <w:rPr>
          <w:rFonts w:eastAsia="SimSun"/>
          <w:shd w:val="clear" w:color="auto" w:fill="FFFFFF"/>
          <w:lang w:val="en-GB"/>
        </w:rPr>
        <w:t xml:space="preserve">The CFI pointed out that </w:t>
      </w:r>
      <w:r w:rsidR="0072678B" w:rsidRPr="00844C55">
        <w:rPr>
          <w:rFonts w:eastAsia="SimSun"/>
          <w:szCs w:val="24"/>
          <w:shd w:val="clear" w:color="auto" w:fill="FFFFFF"/>
          <w:lang w:val="en-GB"/>
        </w:rPr>
        <w:t xml:space="preserve">Microsoft failed to put forward sufficient evidence to prove its claim that </w:t>
      </w:r>
      <w:r w:rsidR="0072678B" w:rsidRPr="00844C55">
        <w:rPr>
          <w:rFonts w:eastAsia="SimSun" w:cs="Times New Roman"/>
          <w:szCs w:val="24"/>
          <w:lang w:val="en-GB" w:bidi="ar-SA"/>
        </w:rPr>
        <w:t xml:space="preserve">compulsory licensing </w:t>
      </w:r>
      <w:r w:rsidR="0072678B" w:rsidRPr="00844C55">
        <w:rPr>
          <w:rFonts w:cs="Times New Roman"/>
          <w:szCs w:val="24"/>
          <w:lang w:val="en-GB" w:bidi="ar-SA"/>
        </w:rPr>
        <w:t>would have a</w:t>
      </w:r>
      <w:r w:rsidR="0072678B" w:rsidRPr="00844C55">
        <w:rPr>
          <w:rFonts w:eastAsia="SimSun" w:cs="Times New Roman"/>
          <w:szCs w:val="24"/>
          <w:lang w:val="en-GB" w:bidi="ar-SA"/>
        </w:rPr>
        <w:t xml:space="preserve"> </w:t>
      </w:r>
      <w:r w:rsidR="0072678B" w:rsidRPr="00844C55">
        <w:rPr>
          <w:rFonts w:cs="Times New Roman"/>
          <w:szCs w:val="24"/>
          <w:lang w:val="en-GB" w:bidi="ar-SA"/>
        </w:rPr>
        <w:t>significant negative impact on its incentives to innovate.</w:t>
      </w:r>
      <w:r w:rsidR="007E2498" w:rsidRPr="00844C55">
        <w:rPr>
          <w:rFonts w:eastAsia="SimSun" w:cs="Times New Roman"/>
          <w:szCs w:val="24"/>
          <w:lang w:val="en-GB" w:bidi="ar-SA"/>
        </w:rPr>
        <w:t xml:space="preserve"> </w:t>
      </w:r>
      <w:r w:rsidR="007E2498" w:rsidRPr="00844C55">
        <w:rPr>
          <w:rFonts w:cs="Times New Roman"/>
          <w:szCs w:val="24"/>
          <w:lang w:val="en-GB" w:bidi="ar-SA"/>
        </w:rPr>
        <w:t xml:space="preserve">The Court, however, did not </w:t>
      </w:r>
      <w:r w:rsidR="00663CC9" w:rsidRPr="00844C55">
        <w:rPr>
          <w:rFonts w:eastAsia="SimSun" w:cs="Times New Roman"/>
          <w:szCs w:val="24"/>
          <w:lang w:val="en-GB" w:bidi="ar-SA"/>
        </w:rPr>
        <w:t>elaborate</w:t>
      </w:r>
      <w:r w:rsidR="007E2498" w:rsidRPr="00844C55">
        <w:rPr>
          <w:rFonts w:cs="Times New Roman"/>
          <w:szCs w:val="24"/>
          <w:lang w:val="en-GB" w:bidi="ar-SA"/>
        </w:rPr>
        <w:t xml:space="preserve"> what might constitute an objective justification for refusal to licen</w:t>
      </w:r>
      <w:r w:rsidR="007E2498" w:rsidRPr="00844C55">
        <w:rPr>
          <w:rFonts w:eastAsia="SimSun" w:cs="Times New Roman"/>
          <w:szCs w:val="24"/>
          <w:lang w:val="en-GB" w:bidi="ar-SA"/>
        </w:rPr>
        <w:t xml:space="preserve">se </w:t>
      </w:r>
      <w:r w:rsidR="007E2498" w:rsidRPr="00844C55">
        <w:rPr>
          <w:rFonts w:cs="Times New Roman"/>
          <w:szCs w:val="24"/>
          <w:lang w:val="en-GB" w:bidi="ar-SA"/>
        </w:rPr>
        <w:t>an</w:t>
      </w:r>
      <w:r w:rsidR="007E2498" w:rsidRPr="00844C55">
        <w:rPr>
          <w:rFonts w:eastAsia="SimSun" w:cs="Times New Roman"/>
          <w:szCs w:val="24"/>
          <w:lang w:val="en-GB" w:bidi="ar-SA"/>
        </w:rPr>
        <w:t xml:space="preserve"> </w:t>
      </w:r>
      <w:r w:rsidR="007E2498" w:rsidRPr="00844C55">
        <w:rPr>
          <w:rFonts w:cs="Times New Roman"/>
          <w:szCs w:val="24"/>
          <w:lang w:val="en-GB" w:bidi="ar-SA"/>
        </w:rPr>
        <w:t>IP</w:t>
      </w:r>
      <w:r w:rsidR="007E2498" w:rsidRPr="00844C55">
        <w:rPr>
          <w:rFonts w:eastAsia="SimSun" w:cs="Times New Roman"/>
          <w:szCs w:val="24"/>
          <w:lang w:val="en-GB" w:bidi="ar-SA"/>
        </w:rPr>
        <w:t xml:space="preserve"> right</w:t>
      </w:r>
      <w:r w:rsidR="007E2498" w:rsidRPr="00844C55">
        <w:rPr>
          <w:rFonts w:cs="Times New Roman"/>
          <w:szCs w:val="24"/>
          <w:lang w:val="en-GB" w:bidi="ar-SA"/>
        </w:rPr>
        <w:t>.</w:t>
      </w:r>
    </w:p>
    <w:p w:rsidR="0028700F" w:rsidRPr="00844C55" w:rsidRDefault="00ED78E3" w:rsidP="00ED78E3">
      <w:pPr>
        <w:pStyle w:val="Heading4"/>
        <w:rPr>
          <w:rFonts w:eastAsia="SimSun"/>
          <w:lang w:val="en-GB"/>
        </w:rPr>
      </w:pPr>
      <w:r w:rsidRPr="00844C55">
        <w:rPr>
          <w:rFonts w:eastAsia="SimSun"/>
          <w:lang w:val="en-GB"/>
        </w:rPr>
        <w:t xml:space="preserve">Excluding Competition on </w:t>
      </w:r>
      <w:r w:rsidR="00B7694C" w:rsidRPr="00844C55">
        <w:rPr>
          <w:rFonts w:eastAsia="SimSun"/>
          <w:lang w:val="en-GB"/>
        </w:rPr>
        <w:t xml:space="preserve">a </w:t>
      </w:r>
      <w:r w:rsidRPr="00844C55">
        <w:rPr>
          <w:rFonts w:eastAsia="SimSun"/>
          <w:lang w:val="en-GB"/>
        </w:rPr>
        <w:t>Secondary Market</w:t>
      </w:r>
    </w:p>
    <w:p w:rsidR="00D03D67" w:rsidRPr="00844C55" w:rsidRDefault="00B7694C" w:rsidP="00266F34">
      <w:pPr>
        <w:rPr>
          <w:rFonts w:eastAsia="SimSun"/>
          <w:lang w:val="en-GB"/>
        </w:rPr>
      </w:pPr>
      <w:r w:rsidRPr="00844C55">
        <w:rPr>
          <w:rFonts w:eastAsia="SimSun"/>
          <w:lang w:val="en-GB"/>
        </w:rPr>
        <w:t xml:space="preserve">The third condition for compulsory licensing </w:t>
      </w:r>
      <w:r w:rsidR="00AC43D4" w:rsidRPr="00844C55">
        <w:rPr>
          <w:rFonts w:eastAsia="SimSun"/>
          <w:lang w:val="en-GB"/>
        </w:rPr>
        <w:t>required</w:t>
      </w:r>
      <w:r w:rsidRPr="00844C55">
        <w:rPr>
          <w:rFonts w:eastAsia="SimSun"/>
          <w:lang w:val="en-GB"/>
        </w:rPr>
        <w:t xml:space="preserve"> by </w:t>
      </w:r>
      <w:r w:rsidRPr="00844C55">
        <w:rPr>
          <w:rFonts w:eastAsia="SimSun"/>
          <w:i/>
          <w:lang w:val="en-GB"/>
        </w:rPr>
        <w:t>Magill</w:t>
      </w:r>
      <w:r w:rsidRPr="00844C55">
        <w:rPr>
          <w:rFonts w:eastAsia="SimSun"/>
          <w:lang w:val="en-GB"/>
        </w:rPr>
        <w:t xml:space="preserve"> is that the </w:t>
      </w:r>
      <w:r w:rsidR="00D8492E">
        <w:rPr>
          <w:rFonts w:eastAsia="SimSun"/>
          <w:lang w:val="en-GB"/>
        </w:rPr>
        <w:t xml:space="preserve">IPR holders </w:t>
      </w:r>
      <w:r w:rsidR="00CD1380" w:rsidRPr="00844C55">
        <w:rPr>
          <w:color w:val="000000"/>
          <w:shd w:val="clear" w:color="auto" w:fill="FFFFFF"/>
          <w:lang w:val="en-GB"/>
        </w:rPr>
        <w:t>exclu</w:t>
      </w:r>
      <w:r w:rsidR="00CD1380" w:rsidRPr="00844C55">
        <w:rPr>
          <w:rFonts w:eastAsia="SimSun"/>
          <w:color w:val="000000"/>
          <w:shd w:val="clear" w:color="auto" w:fill="FFFFFF"/>
          <w:lang w:val="en-GB"/>
        </w:rPr>
        <w:t>de</w:t>
      </w:r>
      <w:r w:rsidR="00E300E2" w:rsidRPr="00844C55">
        <w:rPr>
          <w:color w:val="000000"/>
          <w:shd w:val="clear" w:color="auto" w:fill="FFFFFF"/>
          <w:lang w:val="en-GB"/>
        </w:rPr>
        <w:t xml:space="preserve"> all competition on </w:t>
      </w:r>
      <w:r w:rsidR="00CD1380" w:rsidRPr="00844C55">
        <w:rPr>
          <w:rFonts w:eastAsia="SimSun"/>
          <w:lang w:val="en-GB"/>
        </w:rPr>
        <w:t>a</w:t>
      </w:r>
      <w:r w:rsidR="00CD1380" w:rsidRPr="00844C55">
        <w:rPr>
          <w:lang w:val="en-GB"/>
        </w:rPr>
        <w:t xml:space="preserve"> secondary market</w:t>
      </w:r>
      <w:r w:rsidRPr="00844C55">
        <w:rPr>
          <w:color w:val="000000"/>
          <w:shd w:val="clear" w:color="auto" w:fill="FFFFFF"/>
          <w:lang w:val="en-GB"/>
        </w:rPr>
        <w:t>.</w:t>
      </w:r>
      <w:r w:rsidR="0021627A" w:rsidRPr="00844C55">
        <w:rPr>
          <w:rStyle w:val="FootnoteReference"/>
          <w:rFonts w:cs="Times New Roman"/>
          <w:iCs/>
          <w:lang w:val="en-GB"/>
        </w:rPr>
        <w:footnoteReference w:id="31"/>
      </w:r>
      <w:r w:rsidR="0021627A" w:rsidRPr="00844C55">
        <w:rPr>
          <w:vertAlign w:val="superscript"/>
          <w:lang w:val="en-GB"/>
        </w:rPr>
        <w:t xml:space="preserve"> </w:t>
      </w:r>
      <w:r w:rsidR="00C80500" w:rsidRPr="00844C55">
        <w:rPr>
          <w:rFonts w:eastAsia="SimSun"/>
          <w:vertAlign w:val="superscript"/>
          <w:lang w:val="en-GB"/>
        </w:rPr>
        <w:t xml:space="preserve"> </w:t>
      </w:r>
      <w:r w:rsidR="00726BD0" w:rsidRPr="00844C55">
        <w:rPr>
          <w:rFonts w:eastAsia="SimSun"/>
          <w:i/>
          <w:lang w:val="en-GB"/>
        </w:rPr>
        <w:t>IMS Health</w:t>
      </w:r>
      <w:r w:rsidR="00726BD0" w:rsidRPr="00844C55">
        <w:rPr>
          <w:rFonts w:eastAsia="SimSun"/>
          <w:lang w:val="en-GB"/>
        </w:rPr>
        <w:t xml:space="preserve"> referred to </w:t>
      </w:r>
      <w:proofErr w:type="spellStart"/>
      <w:r w:rsidR="00726BD0" w:rsidRPr="00844C55">
        <w:rPr>
          <w:rFonts w:eastAsia="SimSun"/>
          <w:i/>
          <w:lang w:val="en-GB"/>
        </w:rPr>
        <w:t>Bronner</w:t>
      </w:r>
      <w:proofErr w:type="spellEnd"/>
      <w:r w:rsidR="00726BD0" w:rsidRPr="00844C55">
        <w:rPr>
          <w:rStyle w:val="FootnoteReference"/>
          <w:rFonts w:eastAsia="SimSun" w:cs="Times New Roman"/>
          <w:i/>
          <w:iCs/>
          <w:lang w:val="en-GB"/>
        </w:rPr>
        <w:footnoteReference w:id="32"/>
      </w:r>
      <w:r w:rsidR="00910692" w:rsidRPr="00844C55">
        <w:rPr>
          <w:rFonts w:eastAsia="SimSun"/>
          <w:i/>
          <w:lang w:val="en-GB"/>
        </w:rPr>
        <w:t xml:space="preserve"> </w:t>
      </w:r>
      <w:r w:rsidR="00910692" w:rsidRPr="00844C55">
        <w:rPr>
          <w:rFonts w:eastAsia="SimSun"/>
          <w:lang w:val="en-GB"/>
        </w:rPr>
        <w:t xml:space="preserve">for the methods of evaluating </w:t>
      </w:r>
      <w:r w:rsidR="00C66693" w:rsidRPr="00844C55">
        <w:rPr>
          <w:rFonts w:eastAsia="SimSun"/>
          <w:lang w:val="en-GB"/>
        </w:rPr>
        <w:t>the likelihood</w:t>
      </w:r>
      <w:r w:rsidR="00910692" w:rsidRPr="00844C55">
        <w:rPr>
          <w:rFonts w:eastAsia="SimSun"/>
          <w:lang w:val="en-GB"/>
        </w:rPr>
        <w:t xml:space="preserve"> of excluding all competition on a secondary market</w:t>
      </w:r>
      <w:r w:rsidR="004679EF" w:rsidRPr="00844C55">
        <w:rPr>
          <w:rFonts w:eastAsia="SimSun"/>
          <w:lang w:val="en-GB"/>
        </w:rPr>
        <w:t>.</w:t>
      </w:r>
      <w:r w:rsidR="00C56E0C" w:rsidRPr="00844C55">
        <w:rPr>
          <w:rFonts w:eastAsia="SimSun"/>
          <w:lang w:val="en-GB"/>
        </w:rPr>
        <w:t xml:space="preserve"> </w:t>
      </w:r>
      <w:r w:rsidR="004679EF" w:rsidRPr="00844C55">
        <w:rPr>
          <w:rFonts w:eastAsia="SimSun"/>
          <w:lang w:val="en-GB"/>
        </w:rPr>
        <w:t xml:space="preserve">For this purpose, the Commission </w:t>
      </w:r>
      <w:r w:rsidR="000112EB" w:rsidRPr="00844C55">
        <w:rPr>
          <w:rFonts w:eastAsia="SimSun"/>
          <w:lang w:val="en-GB"/>
        </w:rPr>
        <w:t xml:space="preserve">or courts </w:t>
      </w:r>
      <w:r w:rsidR="004679EF" w:rsidRPr="00844C55">
        <w:rPr>
          <w:rFonts w:eastAsia="SimSun"/>
          <w:lang w:val="en-GB"/>
        </w:rPr>
        <w:t>should</w:t>
      </w:r>
      <w:r w:rsidR="00AB4B4A" w:rsidRPr="00844C55">
        <w:rPr>
          <w:rFonts w:eastAsia="SimSun"/>
          <w:lang w:val="en-GB"/>
        </w:rPr>
        <w:t>, firstly,</w:t>
      </w:r>
      <w:r w:rsidR="004679EF" w:rsidRPr="00844C55">
        <w:rPr>
          <w:rFonts w:eastAsia="SimSun"/>
          <w:lang w:val="en-GB"/>
        </w:rPr>
        <w:t xml:space="preserve"> determine whether the</w:t>
      </w:r>
      <w:r w:rsidR="000112EB" w:rsidRPr="00844C55">
        <w:rPr>
          <w:rFonts w:eastAsia="SimSun"/>
          <w:lang w:val="en-GB"/>
        </w:rPr>
        <w:t xml:space="preserve"> supply of </w:t>
      </w:r>
      <w:r w:rsidR="00AB04D4" w:rsidRPr="00844C55">
        <w:rPr>
          <w:rFonts w:eastAsia="SimSun"/>
          <w:lang w:val="en-GB"/>
        </w:rPr>
        <w:t xml:space="preserve">the </w:t>
      </w:r>
      <w:r w:rsidR="00606FCB">
        <w:rPr>
          <w:rFonts w:eastAsia="SimSun"/>
          <w:lang w:val="en-GB"/>
        </w:rPr>
        <w:t xml:space="preserve">IPR </w:t>
      </w:r>
      <w:r w:rsidR="00AB04D4" w:rsidRPr="00844C55">
        <w:rPr>
          <w:rFonts w:eastAsia="SimSun"/>
          <w:lang w:val="en-GB"/>
        </w:rPr>
        <w:t>in question</w:t>
      </w:r>
      <w:r w:rsidR="000112EB" w:rsidRPr="00844C55">
        <w:rPr>
          <w:rFonts w:eastAsia="SimSun"/>
          <w:lang w:val="en-GB"/>
        </w:rPr>
        <w:t xml:space="preserve"> could form a separate</w:t>
      </w:r>
      <w:r w:rsidR="004679EF" w:rsidRPr="00844C55">
        <w:rPr>
          <w:rFonts w:eastAsia="SimSun"/>
          <w:lang w:val="en-GB"/>
        </w:rPr>
        <w:t xml:space="preserve"> market, </w:t>
      </w:r>
      <w:r w:rsidR="00AB4B4A" w:rsidRPr="00844C55">
        <w:rPr>
          <w:rFonts w:eastAsia="SimSun"/>
          <w:lang w:val="en-GB"/>
        </w:rPr>
        <w:t xml:space="preserve">secondly, demonstrate that the </w:t>
      </w:r>
      <w:r w:rsidR="00D8492E">
        <w:rPr>
          <w:rFonts w:eastAsia="SimSun"/>
          <w:lang w:val="en-GB"/>
        </w:rPr>
        <w:t xml:space="preserve">IPR holder </w:t>
      </w:r>
      <w:r w:rsidR="00AB4B4A" w:rsidRPr="00844C55">
        <w:rPr>
          <w:rFonts w:eastAsia="SimSun"/>
          <w:lang w:val="en-GB"/>
        </w:rPr>
        <w:t xml:space="preserve">has a dominant position on this market, </w:t>
      </w:r>
      <w:r w:rsidR="009311F2" w:rsidRPr="00844C55">
        <w:rPr>
          <w:rFonts w:eastAsia="SimSun"/>
          <w:lang w:val="en-GB"/>
        </w:rPr>
        <w:t xml:space="preserve">and thirdly, decide whether the refusal to license the </w:t>
      </w:r>
      <w:r w:rsidR="00606FCB">
        <w:rPr>
          <w:rFonts w:eastAsia="SimSun"/>
          <w:lang w:val="en-GB"/>
        </w:rPr>
        <w:t xml:space="preserve">IPR </w:t>
      </w:r>
      <w:r w:rsidR="009311F2" w:rsidRPr="00844C55">
        <w:rPr>
          <w:rFonts w:eastAsia="SimSun"/>
          <w:lang w:val="en-GB"/>
        </w:rPr>
        <w:t xml:space="preserve">could deprive the competitor a means of entering a secondary market.  </w:t>
      </w:r>
      <w:r w:rsidR="00266F34" w:rsidRPr="00844C55">
        <w:rPr>
          <w:rFonts w:eastAsia="SimSun"/>
          <w:lang w:val="en-GB"/>
        </w:rPr>
        <w:t xml:space="preserve">The court took a loose interpretation </w:t>
      </w:r>
      <w:r w:rsidR="009311F2" w:rsidRPr="00844C55">
        <w:rPr>
          <w:rFonts w:eastAsia="SimSun"/>
          <w:lang w:val="en-GB"/>
        </w:rPr>
        <w:t>on market definition</w:t>
      </w:r>
      <w:r w:rsidR="00266F34" w:rsidRPr="00844C55">
        <w:rPr>
          <w:rFonts w:eastAsia="SimSun"/>
          <w:lang w:val="en-GB"/>
        </w:rPr>
        <w:t xml:space="preserve"> and considered it was sufficient that a potential market or even hypothetical market can be identified.</w:t>
      </w:r>
      <w:r w:rsidR="00A56E49" w:rsidRPr="00844C55">
        <w:rPr>
          <w:rStyle w:val="FootnoteReference"/>
          <w:rFonts w:eastAsia="SimSun"/>
          <w:lang w:val="en-GB"/>
        </w:rPr>
        <w:footnoteReference w:id="33"/>
      </w:r>
    </w:p>
    <w:p w:rsidR="003F6DC9" w:rsidRPr="00844C55" w:rsidRDefault="003F6DC9" w:rsidP="00086BB9">
      <w:pPr>
        <w:rPr>
          <w:rFonts w:cs="Times New Roman"/>
          <w:szCs w:val="24"/>
          <w:lang w:val="en-GB" w:bidi="ar-SA"/>
        </w:rPr>
      </w:pPr>
      <w:r w:rsidRPr="00844C55">
        <w:rPr>
          <w:rFonts w:eastAsia="SimSun"/>
          <w:lang w:val="en-GB"/>
        </w:rPr>
        <w:t xml:space="preserve">It worth noting that both </w:t>
      </w:r>
      <w:r w:rsidRPr="00844C55">
        <w:rPr>
          <w:rFonts w:eastAsia="SimSun"/>
          <w:i/>
          <w:lang w:val="en-GB"/>
        </w:rPr>
        <w:t>Magill</w:t>
      </w:r>
      <w:r w:rsidRPr="00844C55">
        <w:rPr>
          <w:rFonts w:eastAsia="SimSun"/>
          <w:lang w:val="en-GB"/>
        </w:rPr>
        <w:t xml:space="preserve"> and </w:t>
      </w:r>
      <w:r w:rsidRPr="00844C55">
        <w:rPr>
          <w:rFonts w:eastAsia="SimSun"/>
          <w:i/>
          <w:lang w:val="en-GB"/>
        </w:rPr>
        <w:t>IMS Health</w:t>
      </w:r>
      <w:r w:rsidRPr="00844C55">
        <w:rPr>
          <w:rFonts w:eastAsia="SimSun"/>
          <w:lang w:val="en-GB"/>
        </w:rPr>
        <w:t xml:space="preserve"> required that the refusal to license would lead to eliminated all competition on the secondary market, but in </w:t>
      </w:r>
      <w:r w:rsidR="00A56E49" w:rsidRPr="00844C55">
        <w:rPr>
          <w:i/>
          <w:lang w:val="en-GB"/>
        </w:rPr>
        <w:t xml:space="preserve">Microsoft </w:t>
      </w:r>
      <w:r w:rsidR="00A56E49" w:rsidRPr="00844C55">
        <w:rPr>
          <w:rFonts w:eastAsia="SimSun"/>
          <w:i/>
          <w:lang w:val="en-GB"/>
        </w:rPr>
        <w:t>Interoperability</w:t>
      </w:r>
      <w:r w:rsidRPr="00844C55">
        <w:rPr>
          <w:rFonts w:eastAsia="SimSun"/>
          <w:i/>
          <w:lang w:val="en-GB"/>
        </w:rPr>
        <w:t>,</w:t>
      </w:r>
      <w:r w:rsidR="00A56E49" w:rsidRPr="00844C55">
        <w:rPr>
          <w:rFonts w:eastAsia="SimSun"/>
          <w:lang w:val="en-GB"/>
        </w:rPr>
        <w:t xml:space="preserve"> </w:t>
      </w:r>
      <w:r w:rsidRPr="00844C55">
        <w:rPr>
          <w:lang w:val="en-GB" w:bidi="ar-SA"/>
        </w:rPr>
        <w:t xml:space="preserve">the </w:t>
      </w:r>
      <w:r w:rsidRPr="00844C55">
        <w:rPr>
          <w:rFonts w:eastAsia="SimSun"/>
          <w:lang w:val="en-GB" w:bidi="ar-SA"/>
        </w:rPr>
        <w:t>c</w:t>
      </w:r>
      <w:r w:rsidR="00B95B88" w:rsidRPr="00844C55">
        <w:rPr>
          <w:lang w:val="en-GB" w:bidi="ar-SA"/>
        </w:rPr>
        <w:t xml:space="preserve">ourt declared that </w:t>
      </w:r>
      <w:r w:rsidRPr="00844C55">
        <w:rPr>
          <w:rFonts w:eastAsia="SimSun"/>
          <w:lang w:val="en-GB" w:bidi="ar-SA"/>
        </w:rPr>
        <w:t xml:space="preserve">what really matters is that </w:t>
      </w:r>
      <w:r w:rsidRPr="00844C55">
        <w:rPr>
          <w:lang w:val="en-GB" w:bidi="ar-SA"/>
        </w:rPr>
        <w:t>the refusal at issue is liable to, or is likely to, eliminate all effective</w:t>
      </w:r>
      <w:r w:rsidRPr="00844C55">
        <w:rPr>
          <w:rFonts w:eastAsia="SimSun"/>
          <w:lang w:val="en-GB" w:bidi="ar-SA"/>
        </w:rPr>
        <w:t xml:space="preserve"> </w:t>
      </w:r>
      <w:r w:rsidRPr="00844C55">
        <w:rPr>
          <w:lang w:val="en-GB" w:bidi="ar-SA"/>
        </w:rPr>
        <w:t>competition on the market</w:t>
      </w:r>
      <w:r w:rsidRPr="00844C55">
        <w:rPr>
          <w:rFonts w:eastAsia="SimSun"/>
          <w:lang w:val="en-GB" w:bidi="ar-SA"/>
        </w:rPr>
        <w:t>.</w:t>
      </w:r>
      <w:r w:rsidRPr="00844C55">
        <w:rPr>
          <w:rStyle w:val="FootnoteReference"/>
          <w:rFonts w:eastAsia="SimSun"/>
          <w:lang w:val="en-GB" w:bidi="ar-SA"/>
        </w:rPr>
        <w:footnoteReference w:id="34"/>
      </w:r>
      <w:r w:rsidRPr="00844C55">
        <w:rPr>
          <w:rFonts w:eastAsia="SimSun"/>
          <w:lang w:val="en-GB" w:bidi="ar-SA"/>
        </w:rPr>
        <w:t xml:space="preserve"> </w:t>
      </w:r>
      <w:r w:rsidR="00872B5F" w:rsidRPr="00844C55">
        <w:rPr>
          <w:rFonts w:eastAsia="SimSun"/>
          <w:lang w:val="en-GB" w:bidi="ar-SA"/>
        </w:rPr>
        <w:t xml:space="preserve">Effective competition </w:t>
      </w:r>
      <w:r w:rsidR="00872B5F" w:rsidRPr="00844C55">
        <w:rPr>
          <w:rFonts w:cs="Times New Roman"/>
          <w:szCs w:val="24"/>
          <w:lang w:val="en-GB" w:bidi="ar-SA"/>
        </w:rPr>
        <w:t>allow</w:t>
      </w:r>
      <w:r w:rsidR="00872B5F" w:rsidRPr="00844C55">
        <w:rPr>
          <w:rFonts w:eastAsia="SimSun" w:cs="Times New Roman"/>
          <w:szCs w:val="24"/>
          <w:lang w:val="en-GB" w:bidi="ar-SA"/>
        </w:rPr>
        <w:t>s</w:t>
      </w:r>
      <w:r w:rsidR="00872B5F" w:rsidRPr="00844C55">
        <w:rPr>
          <w:rFonts w:cs="Times New Roman"/>
          <w:szCs w:val="24"/>
          <w:lang w:val="en-GB" w:bidi="ar-SA"/>
        </w:rPr>
        <w:t xml:space="preserve"> competitors to exercise effective </w:t>
      </w:r>
      <w:r w:rsidR="00872B5F" w:rsidRPr="00844C55">
        <w:rPr>
          <w:rFonts w:eastAsia="SimSun"/>
          <w:lang w:val="en-GB" w:bidi="ar-SA"/>
        </w:rPr>
        <w:t>competitive pressure on the dominant undertaking on the secondary market.</w:t>
      </w:r>
      <w:r w:rsidR="00086BB9" w:rsidRPr="00844C55">
        <w:rPr>
          <w:rFonts w:eastAsia="SimSun"/>
          <w:lang w:val="en-GB" w:bidi="ar-SA"/>
        </w:rPr>
        <w:t xml:space="preserve"> A marginal presence of competitors in certain niches </w:t>
      </w:r>
      <w:r w:rsidR="002C1CD3" w:rsidRPr="00844C55">
        <w:rPr>
          <w:rFonts w:eastAsia="SimSun"/>
          <w:lang w:val="en-GB" w:bidi="ar-SA"/>
        </w:rPr>
        <w:t xml:space="preserve">is not a sufficient proof of </w:t>
      </w:r>
      <w:r w:rsidR="00086BB9" w:rsidRPr="00844C55">
        <w:rPr>
          <w:rFonts w:eastAsia="SimSun"/>
          <w:lang w:val="en-GB" w:bidi="ar-SA"/>
        </w:rPr>
        <w:t xml:space="preserve">the existence of </w:t>
      </w:r>
      <w:r w:rsidR="002C1CD3" w:rsidRPr="00844C55">
        <w:rPr>
          <w:rFonts w:eastAsia="SimSun"/>
          <w:lang w:val="en-GB" w:bidi="ar-SA"/>
        </w:rPr>
        <w:t>effective</w:t>
      </w:r>
      <w:r w:rsidR="00086BB9" w:rsidRPr="00844C55">
        <w:rPr>
          <w:rFonts w:eastAsia="SimSun"/>
          <w:lang w:val="en-GB" w:bidi="ar-SA"/>
        </w:rPr>
        <w:t xml:space="preserve"> competition.</w:t>
      </w:r>
      <w:r w:rsidR="00086BB9" w:rsidRPr="00844C55">
        <w:rPr>
          <w:rStyle w:val="FootnoteReference"/>
          <w:rFonts w:eastAsia="SimSun"/>
          <w:lang w:val="en-GB" w:bidi="ar-SA"/>
        </w:rPr>
        <w:footnoteReference w:id="35"/>
      </w:r>
      <w:r w:rsidR="00872B5F" w:rsidRPr="00844C55">
        <w:rPr>
          <w:rFonts w:eastAsia="SimSun"/>
          <w:lang w:val="en-GB" w:bidi="ar-SA"/>
        </w:rPr>
        <w:t xml:space="preserve"> </w:t>
      </w:r>
      <w:r w:rsidR="00255B3A" w:rsidRPr="00844C55">
        <w:rPr>
          <w:rFonts w:eastAsia="SimSun"/>
          <w:lang w:val="en-GB" w:bidi="ar-SA"/>
        </w:rPr>
        <w:t xml:space="preserve">The shift from “all competition” to “all effective </w:t>
      </w:r>
      <w:r w:rsidR="00255B3A" w:rsidRPr="00844C55">
        <w:rPr>
          <w:rFonts w:eastAsia="SimSun"/>
          <w:lang w:val="en-GB" w:bidi="ar-SA"/>
        </w:rPr>
        <w:lastRenderedPageBreak/>
        <w:t xml:space="preserve">competition” demonstrated </w:t>
      </w:r>
      <w:r w:rsidR="002D72E2" w:rsidRPr="00844C55">
        <w:rPr>
          <w:rFonts w:eastAsia="SimSun"/>
          <w:lang w:val="en-GB" w:bidi="ar-SA"/>
        </w:rPr>
        <w:t>that EU lowered slightly its threshold for compulsory licensing</w:t>
      </w:r>
      <w:r w:rsidR="00B83DF7" w:rsidRPr="00844C55">
        <w:rPr>
          <w:rFonts w:eastAsia="SimSun"/>
          <w:lang w:val="en-GB" w:bidi="ar-SA"/>
        </w:rPr>
        <w:t xml:space="preserve"> under Article 102</w:t>
      </w:r>
      <w:r w:rsidR="002D72E2" w:rsidRPr="00844C55">
        <w:rPr>
          <w:rFonts w:eastAsia="SimSun"/>
          <w:lang w:val="en-GB" w:bidi="ar-SA"/>
        </w:rPr>
        <w:t xml:space="preserve">. </w:t>
      </w:r>
    </w:p>
    <w:p w:rsidR="00E300E2" w:rsidRPr="00844C55" w:rsidRDefault="00216E63" w:rsidP="00E300E2">
      <w:pPr>
        <w:pStyle w:val="Heading4"/>
        <w:rPr>
          <w:rFonts w:eastAsia="SimSun"/>
          <w:shd w:val="clear" w:color="auto" w:fill="FFFFFF"/>
          <w:lang w:val="en-GB"/>
        </w:rPr>
      </w:pPr>
      <w:r w:rsidRPr="00844C55">
        <w:rPr>
          <w:rFonts w:eastAsia="SimSun"/>
          <w:shd w:val="clear" w:color="auto" w:fill="FFFFFF"/>
          <w:lang w:val="en-GB"/>
        </w:rPr>
        <w:t xml:space="preserve">Indispensable </w:t>
      </w:r>
      <w:r w:rsidR="00B96EFA" w:rsidRPr="00844C55">
        <w:rPr>
          <w:rFonts w:eastAsia="SimSun"/>
          <w:shd w:val="clear" w:color="auto" w:fill="FFFFFF"/>
          <w:lang w:val="en-GB"/>
        </w:rPr>
        <w:t>Nature of</w:t>
      </w:r>
      <w:r w:rsidR="00E300E2" w:rsidRPr="00844C55">
        <w:rPr>
          <w:rFonts w:eastAsia="SimSun"/>
          <w:shd w:val="clear" w:color="auto" w:fill="FFFFFF"/>
          <w:lang w:val="en-GB"/>
        </w:rPr>
        <w:t xml:space="preserve"> the IP right</w:t>
      </w:r>
    </w:p>
    <w:p w:rsidR="00726BD0" w:rsidRDefault="006F7BED" w:rsidP="00726BD0">
      <w:pPr>
        <w:rPr>
          <w:rFonts w:eastAsia="SimSun"/>
          <w:shd w:val="clear" w:color="auto" w:fill="FFFFFF"/>
          <w:lang w:val="en-GB"/>
        </w:rPr>
      </w:pPr>
      <w:r w:rsidRPr="00844C55">
        <w:rPr>
          <w:rFonts w:eastAsia="SimSun"/>
          <w:i/>
          <w:lang w:val="en-GB"/>
        </w:rPr>
        <w:t>Magill</w:t>
      </w:r>
      <w:r w:rsidRPr="00844C55">
        <w:rPr>
          <w:rFonts w:eastAsia="SimSun"/>
          <w:lang w:val="en-GB"/>
        </w:rPr>
        <w:t xml:space="preserve"> and </w:t>
      </w:r>
      <w:r w:rsidRPr="00844C55">
        <w:rPr>
          <w:rFonts w:eastAsia="SimSun"/>
          <w:i/>
          <w:lang w:val="en-GB"/>
        </w:rPr>
        <w:t>IMS Health</w:t>
      </w:r>
      <w:r w:rsidRPr="00844C55">
        <w:rPr>
          <w:rFonts w:eastAsia="SimSun"/>
          <w:lang w:val="en-GB"/>
        </w:rPr>
        <w:t xml:space="preserve"> indicated that there is another condition for compulsory licensing </w:t>
      </w:r>
      <w:r w:rsidR="008A3EBF" w:rsidRPr="00844C55">
        <w:rPr>
          <w:rFonts w:eastAsia="SimSun"/>
          <w:lang w:val="en-GB"/>
        </w:rPr>
        <w:t>within the meaning of</w:t>
      </w:r>
      <w:r w:rsidRPr="00844C55">
        <w:rPr>
          <w:rFonts w:eastAsia="SimSun"/>
          <w:lang w:val="en-GB"/>
        </w:rPr>
        <w:t xml:space="preserve"> Article 102 that t</w:t>
      </w:r>
      <w:r w:rsidR="00726BD0" w:rsidRPr="00844C55">
        <w:rPr>
          <w:shd w:val="clear" w:color="auto" w:fill="FFFFFF"/>
          <w:lang w:val="en-GB"/>
        </w:rPr>
        <w:t xml:space="preserve">he supply of the </w:t>
      </w:r>
      <w:r w:rsidR="00606FCB">
        <w:rPr>
          <w:shd w:val="clear" w:color="auto" w:fill="FFFFFF"/>
          <w:lang w:val="en-GB"/>
        </w:rPr>
        <w:t xml:space="preserve">IPR </w:t>
      </w:r>
      <w:r w:rsidR="00726BD0" w:rsidRPr="00844C55">
        <w:rPr>
          <w:shd w:val="clear" w:color="auto" w:fill="FFFFFF"/>
          <w:lang w:val="en-GB"/>
        </w:rPr>
        <w:t xml:space="preserve">concerned </w:t>
      </w:r>
      <w:r w:rsidRPr="00844C55">
        <w:rPr>
          <w:rFonts w:eastAsia="SimSun"/>
          <w:shd w:val="clear" w:color="auto" w:fill="FFFFFF"/>
          <w:lang w:val="en-GB"/>
        </w:rPr>
        <w:t>should be</w:t>
      </w:r>
      <w:r w:rsidR="00726BD0" w:rsidRPr="00844C55">
        <w:rPr>
          <w:shd w:val="clear" w:color="auto" w:fill="FFFFFF"/>
          <w:lang w:val="en-GB"/>
        </w:rPr>
        <w:t xml:space="preserve"> indispensable for carrying on the business </w:t>
      </w:r>
      <w:r w:rsidRPr="00844C55">
        <w:rPr>
          <w:shd w:val="clear" w:color="auto" w:fill="FFFFFF"/>
          <w:lang w:val="en-GB"/>
        </w:rPr>
        <w:t>o</w:t>
      </w:r>
      <w:r w:rsidRPr="00844C55">
        <w:rPr>
          <w:rFonts w:eastAsia="SimSun"/>
          <w:shd w:val="clear" w:color="auto" w:fill="FFFFFF"/>
          <w:lang w:val="en-GB"/>
        </w:rPr>
        <w:t>n the secondary market</w:t>
      </w:r>
      <w:r w:rsidR="00726BD0" w:rsidRPr="00844C55">
        <w:rPr>
          <w:shd w:val="clear" w:color="auto" w:fill="FFFFFF"/>
          <w:lang w:val="en-GB"/>
        </w:rPr>
        <w:t xml:space="preserve">. </w:t>
      </w:r>
      <w:r w:rsidR="00DF2653" w:rsidRPr="00844C55">
        <w:rPr>
          <w:rFonts w:eastAsia="SimSun"/>
          <w:shd w:val="clear" w:color="auto" w:fill="FFFFFF"/>
          <w:lang w:val="en-GB"/>
        </w:rPr>
        <w:t xml:space="preserve">In </w:t>
      </w:r>
      <w:r w:rsidR="00DF2653" w:rsidRPr="00844C55">
        <w:rPr>
          <w:rFonts w:eastAsia="SimSun"/>
          <w:i/>
          <w:shd w:val="clear" w:color="auto" w:fill="FFFFFF"/>
          <w:lang w:val="en-GB"/>
        </w:rPr>
        <w:t>Magill</w:t>
      </w:r>
      <w:r w:rsidR="00DF2653" w:rsidRPr="00844C55">
        <w:rPr>
          <w:rFonts w:eastAsia="SimSun"/>
          <w:shd w:val="clear" w:color="auto" w:fill="FFFFFF"/>
          <w:lang w:val="en-GB"/>
        </w:rPr>
        <w:t>, the information is indispensable because</w:t>
      </w:r>
      <w:r w:rsidR="004B23EB" w:rsidRPr="00844C55">
        <w:rPr>
          <w:rFonts w:eastAsia="SimSun"/>
          <w:shd w:val="clear" w:color="auto" w:fill="FFFFFF"/>
          <w:lang w:val="en-GB"/>
        </w:rPr>
        <w:t>,</w:t>
      </w:r>
      <w:r w:rsidR="00DF2653" w:rsidRPr="00844C55">
        <w:rPr>
          <w:rFonts w:eastAsia="SimSun"/>
          <w:shd w:val="clear" w:color="auto" w:fill="FFFFFF"/>
          <w:lang w:val="en-GB"/>
        </w:rPr>
        <w:t xml:space="preserve"> w</w:t>
      </w:r>
      <w:r w:rsidR="00726BD0" w:rsidRPr="00844C55">
        <w:rPr>
          <w:shd w:val="clear" w:color="auto" w:fill="FFFFFF"/>
          <w:lang w:val="en-GB"/>
        </w:rPr>
        <w:t>ithout</w:t>
      </w:r>
      <w:r w:rsidR="00DF2653" w:rsidRPr="00844C55">
        <w:rPr>
          <w:shd w:val="clear" w:color="auto" w:fill="FFFFFF"/>
          <w:lang w:val="en-GB"/>
        </w:rPr>
        <w:t xml:space="preserve"> </w:t>
      </w:r>
      <w:r w:rsidR="00DF2653" w:rsidRPr="00844C55">
        <w:rPr>
          <w:rFonts w:eastAsia="SimSun"/>
          <w:shd w:val="clear" w:color="auto" w:fill="FFFFFF"/>
          <w:lang w:val="en-GB"/>
        </w:rPr>
        <w:t>it</w:t>
      </w:r>
      <w:r w:rsidR="00C65E47" w:rsidRPr="00844C55">
        <w:rPr>
          <w:shd w:val="clear" w:color="auto" w:fill="FFFFFF"/>
          <w:lang w:val="en-GB"/>
        </w:rPr>
        <w:t xml:space="preserve">, </w:t>
      </w:r>
      <w:r w:rsidR="00C65E47" w:rsidRPr="00844C55">
        <w:rPr>
          <w:rFonts w:eastAsia="SimSun"/>
          <w:shd w:val="clear" w:color="auto" w:fill="FFFFFF"/>
          <w:lang w:val="en-GB"/>
        </w:rPr>
        <w:t>a</w:t>
      </w:r>
      <w:r w:rsidR="00726BD0" w:rsidRPr="00844C55">
        <w:rPr>
          <w:shd w:val="clear" w:color="auto" w:fill="FFFFFF"/>
          <w:lang w:val="en-GB"/>
        </w:rPr>
        <w:t xml:space="preserve"> person would find it impossible to</w:t>
      </w:r>
      <w:r w:rsidR="00C65E47" w:rsidRPr="00844C55">
        <w:rPr>
          <w:rFonts w:eastAsia="SimSun"/>
          <w:shd w:val="clear" w:color="auto" w:fill="FFFFFF"/>
          <w:lang w:val="en-GB"/>
        </w:rPr>
        <w:t xml:space="preserve"> produce,</w:t>
      </w:r>
      <w:r w:rsidR="00726BD0" w:rsidRPr="00844C55">
        <w:rPr>
          <w:shd w:val="clear" w:color="auto" w:fill="FFFFFF"/>
          <w:lang w:val="en-GB"/>
        </w:rPr>
        <w:t xml:space="preserve"> publish </w:t>
      </w:r>
      <w:r w:rsidR="00C65E47" w:rsidRPr="00844C55">
        <w:rPr>
          <w:rFonts w:eastAsia="SimSun"/>
          <w:shd w:val="clear" w:color="auto" w:fill="FFFFFF"/>
          <w:lang w:val="en-GB"/>
        </w:rPr>
        <w:t>or</w:t>
      </w:r>
      <w:r w:rsidR="00726BD0" w:rsidRPr="00844C55">
        <w:rPr>
          <w:shd w:val="clear" w:color="auto" w:fill="FFFFFF"/>
          <w:lang w:val="en-GB"/>
        </w:rPr>
        <w:t xml:space="preserve"> </w:t>
      </w:r>
      <w:r w:rsidR="00C65E47" w:rsidRPr="00844C55">
        <w:rPr>
          <w:rFonts w:eastAsia="SimSun"/>
          <w:shd w:val="clear" w:color="auto" w:fill="FFFFFF"/>
          <w:lang w:val="en-GB"/>
        </w:rPr>
        <w:t xml:space="preserve">sell </w:t>
      </w:r>
      <w:r w:rsidR="00C65E47" w:rsidRPr="00844C55">
        <w:rPr>
          <w:shd w:val="clear" w:color="auto" w:fill="FFFFFF"/>
          <w:lang w:val="en-GB"/>
        </w:rPr>
        <w:t xml:space="preserve">a </w:t>
      </w:r>
      <w:r w:rsidR="00C65E47" w:rsidRPr="00844C55">
        <w:rPr>
          <w:rFonts w:eastAsia="SimSun"/>
          <w:shd w:val="clear" w:color="auto" w:fill="FFFFFF"/>
          <w:lang w:val="en-GB"/>
        </w:rPr>
        <w:t xml:space="preserve">comprehensive </w:t>
      </w:r>
      <w:r w:rsidR="004B23EB" w:rsidRPr="00844C55">
        <w:rPr>
          <w:rFonts w:eastAsia="SimSun"/>
          <w:shd w:val="clear" w:color="auto" w:fill="FFFFFF"/>
          <w:lang w:val="en-GB"/>
        </w:rPr>
        <w:t xml:space="preserve">TV </w:t>
      </w:r>
      <w:r w:rsidR="00C65E47" w:rsidRPr="00844C55">
        <w:rPr>
          <w:shd w:val="clear" w:color="auto" w:fill="FFFFFF"/>
          <w:lang w:val="en-GB"/>
        </w:rPr>
        <w:t>guide</w:t>
      </w:r>
      <w:r w:rsidR="00C65E47" w:rsidRPr="00844C55">
        <w:rPr>
          <w:rFonts w:eastAsia="SimSun"/>
          <w:shd w:val="clear" w:color="auto" w:fill="FFFFFF"/>
          <w:lang w:val="en-GB"/>
        </w:rPr>
        <w:t>.</w:t>
      </w:r>
      <w:r w:rsidR="00A830A1" w:rsidRPr="00844C55">
        <w:rPr>
          <w:rStyle w:val="FootnoteReference"/>
          <w:rFonts w:eastAsia="SimSun"/>
          <w:shd w:val="clear" w:color="auto" w:fill="FFFFFF"/>
          <w:lang w:val="en-GB"/>
        </w:rPr>
        <w:footnoteReference w:id="36"/>
      </w:r>
      <w:r w:rsidR="00C65E47" w:rsidRPr="00844C55">
        <w:rPr>
          <w:rFonts w:eastAsia="SimSun"/>
          <w:shd w:val="clear" w:color="auto" w:fill="FFFFFF"/>
          <w:lang w:val="en-GB"/>
        </w:rPr>
        <w:t xml:space="preserve"> </w:t>
      </w:r>
      <w:r w:rsidR="008A3EBF" w:rsidRPr="00844C55">
        <w:rPr>
          <w:rFonts w:eastAsia="SimSun"/>
          <w:shd w:val="clear" w:color="auto" w:fill="FFFFFF"/>
          <w:lang w:val="en-GB"/>
        </w:rPr>
        <w:t xml:space="preserve">The ECJ pointed out in its </w:t>
      </w:r>
      <w:r w:rsidR="008A3EBF" w:rsidRPr="00844C55">
        <w:rPr>
          <w:rFonts w:eastAsia="SimSun"/>
          <w:i/>
          <w:shd w:val="clear" w:color="auto" w:fill="FFFFFF"/>
          <w:lang w:val="en-GB"/>
        </w:rPr>
        <w:t xml:space="preserve">IMS Health </w:t>
      </w:r>
      <w:r w:rsidR="008A3EBF" w:rsidRPr="00844C55">
        <w:rPr>
          <w:rFonts w:eastAsia="SimSun"/>
          <w:lang w:val="en-GB"/>
        </w:rPr>
        <w:t>decision, with reference to</w:t>
      </w:r>
      <w:r w:rsidR="008A3EBF" w:rsidRPr="00844C55">
        <w:rPr>
          <w:rFonts w:eastAsia="SimSun"/>
          <w:shd w:val="clear" w:color="auto" w:fill="FFFFFF"/>
          <w:lang w:val="en-GB"/>
        </w:rPr>
        <w:t xml:space="preserve"> </w:t>
      </w:r>
      <w:proofErr w:type="spellStart"/>
      <w:r w:rsidR="008A3EBF" w:rsidRPr="00844C55">
        <w:rPr>
          <w:rFonts w:eastAsia="SimSun"/>
          <w:i/>
          <w:lang w:val="en-GB"/>
        </w:rPr>
        <w:t>Bronner</w:t>
      </w:r>
      <w:proofErr w:type="spellEnd"/>
      <w:r w:rsidR="008A3EBF" w:rsidRPr="00844C55">
        <w:rPr>
          <w:rFonts w:eastAsia="SimSun"/>
          <w:i/>
          <w:lang w:val="en-GB"/>
        </w:rPr>
        <w:t xml:space="preserve">, </w:t>
      </w:r>
      <w:r w:rsidR="008A3EBF" w:rsidRPr="00844C55">
        <w:rPr>
          <w:rFonts w:eastAsia="SimSun"/>
          <w:shd w:val="clear" w:color="auto" w:fill="FFFFFF"/>
          <w:lang w:val="en-GB"/>
        </w:rPr>
        <w:t xml:space="preserve">that for the purpose of illustrating the indispensable nature of a product or service, </w:t>
      </w:r>
      <w:r w:rsidR="00C83443" w:rsidRPr="00844C55">
        <w:rPr>
          <w:rFonts w:eastAsia="SimSun"/>
          <w:shd w:val="clear" w:color="auto" w:fill="FFFFFF"/>
          <w:lang w:val="en-GB"/>
        </w:rPr>
        <w:t>it must be established, at the very least, that the creation of substitute products or services is not economically viable for production on a scale comparable to that of the undertaking which controls the existing product or service</w:t>
      </w:r>
      <w:r w:rsidR="008A3EBF" w:rsidRPr="00844C55">
        <w:rPr>
          <w:rFonts w:eastAsia="SimSun"/>
          <w:shd w:val="clear" w:color="auto" w:fill="FFFFFF"/>
          <w:lang w:val="en-GB"/>
        </w:rPr>
        <w:t>.</w:t>
      </w:r>
      <w:r w:rsidR="008A3EBF" w:rsidRPr="00844C55">
        <w:rPr>
          <w:vertAlign w:val="superscript"/>
          <w:lang w:val="en-GB"/>
        </w:rPr>
        <w:footnoteReference w:id="37"/>
      </w:r>
      <w:r w:rsidR="008A3EBF" w:rsidRPr="00844C55">
        <w:rPr>
          <w:rFonts w:eastAsia="SimSun"/>
          <w:vertAlign w:val="superscript"/>
          <w:lang w:val="en-GB"/>
        </w:rPr>
        <w:t xml:space="preserve"> </w:t>
      </w:r>
      <w:r w:rsidR="00B96EFA" w:rsidRPr="00844C55">
        <w:rPr>
          <w:rFonts w:eastAsia="SimSun"/>
          <w:shd w:val="clear" w:color="auto" w:fill="FFFFFF"/>
          <w:lang w:val="en-GB"/>
        </w:rPr>
        <w:t xml:space="preserve">The examinations of the indispensable nature the </w:t>
      </w:r>
      <w:r w:rsidR="00606FCB">
        <w:rPr>
          <w:rFonts w:eastAsia="SimSun"/>
          <w:shd w:val="clear" w:color="auto" w:fill="FFFFFF"/>
          <w:lang w:val="en-GB"/>
        </w:rPr>
        <w:t xml:space="preserve">IPRs </w:t>
      </w:r>
      <w:r w:rsidR="00B96EFA" w:rsidRPr="00844C55">
        <w:rPr>
          <w:rFonts w:eastAsia="SimSun"/>
          <w:shd w:val="clear" w:color="auto" w:fill="FFFFFF"/>
          <w:lang w:val="en-GB"/>
        </w:rPr>
        <w:t xml:space="preserve">were intertwined with other conditions, in particular, elimination of competition on the secondary market. </w:t>
      </w:r>
      <w:r w:rsidR="007D76CA" w:rsidRPr="00844C55">
        <w:rPr>
          <w:rFonts w:eastAsia="SimSun"/>
          <w:shd w:val="clear" w:color="auto" w:fill="FFFFFF"/>
          <w:lang w:val="en-GB"/>
        </w:rPr>
        <w:t xml:space="preserve">In </w:t>
      </w:r>
      <w:r w:rsidR="007D76CA" w:rsidRPr="00844C55">
        <w:rPr>
          <w:rFonts w:eastAsia="SimSun"/>
          <w:i/>
          <w:shd w:val="clear" w:color="auto" w:fill="FFFFFF"/>
          <w:lang w:val="en-GB"/>
        </w:rPr>
        <w:t>Microsoft Interoperability</w:t>
      </w:r>
      <w:r w:rsidR="007D76CA" w:rsidRPr="00844C55">
        <w:rPr>
          <w:rFonts w:eastAsia="SimSun"/>
          <w:shd w:val="clear" w:color="auto" w:fill="FFFFFF"/>
          <w:lang w:val="en-GB"/>
        </w:rPr>
        <w:t>, t</w:t>
      </w:r>
      <w:r w:rsidR="00C83443" w:rsidRPr="00844C55">
        <w:rPr>
          <w:rFonts w:eastAsia="SimSun"/>
          <w:shd w:val="clear" w:color="auto" w:fill="FFFFFF"/>
          <w:lang w:val="en-GB"/>
        </w:rPr>
        <w:t>he CFI insisted the</w:t>
      </w:r>
      <w:r w:rsidR="00D74210" w:rsidRPr="00844C55">
        <w:rPr>
          <w:rFonts w:eastAsia="SimSun"/>
          <w:shd w:val="clear" w:color="auto" w:fill="FFFFFF"/>
          <w:lang w:val="en-GB"/>
        </w:rPr>
        <w:t xml:space="preserve"> application of</w:t>
      </w:r>
      <w:r w:rsidR="00C83443" w:rsidRPr="00844C55">
        <w:rPr>
          <w:rFonts w:eastAsia="SimSun"/>
          <w:shd w:val="clear" w:color="auto" w:fill="FFFFFF"/>
          <w:lang w:val="en-GB"/>
        </w:rPr>
        <w:t xml:space="preserve"> economic viability </w:t>
      </w:r>
      <w:r w:rsidR="00D74210" w:rsidRPr="00844C55">
        <w:rPr>
          <w:rFonts w:eastAsia="SimSun"/>
          <w:shd w:val="clear" w:color="auto" w:fill="FFFFFF"/>
          <w:lang w:val="en-GB"/>
        </w:rPr>
        <w:t>standard for the indispensability test</w:t>
      </w:r>
      <w:r w:rsidR="00441CF7" w:rsidRPr="00844C55">
        <w:rPr>
          <w:rFonts w:eastAsia="SimSun"/>
          <w:shd w:val="clear" w:color="auto" w:fill="FFFFFF"/>
          <w:lang w:val="en-GB"/>
        </w:rPr>
        <w:t xml:space="preserve"> and admitted that it involved complex economic assessments</w:t>
      </w:r>
      <w:r w:rsidR="00D74210" w:rsidRPr="00844C55">
        <w:rPr>
          <w:rFonts w:eastAsia="SimSun"/>
          <w:shd w:val="clear" w:color="auto" w:fill="FFFFFF"/>
          <w:lang w:val="en-GB"/>
        </w:rPr>
        <w:t>.</w:t>
      </w:r>
      <w:r w:rsidR="00441CF7" w:rsidRPr="00844C55">
        <w:rPr>
          <w:rStyle w:val="FootnoteReference"/>
          <w:rFonts w:eastAsia="SimSun"/>
          <w:shd w:val="clear" w:color="auto" w:fill="FFFFFF"/>
          <w:lang w:val="en-GB"/>
        </w:rPr>
        <w:footnoteReference w:id="38"/>
      </w:r>
      <w:r w:rsidR="00D74210" w:rsidRPr="00844C55">
        <w:rPr>
          <w:rFonts w:eastAsia="SimSun"/>
          <w:shd w:val="clear" w:color="auto" w:fill="FFFFFF"/>
          <w:lang w:val="en-GB"/>
        </w:rPr>
        <w:t xml:space="preserve"> </w:t>
      </w:r>
      <w:r w:rsidR="009574E9" w:rsidRPr="00844C55">
        <w:rPr>
          <w:rFonts w:eastAsia="SimSun"/>
          <w:shd w:val="clear" w:color="auto" w:fill="FFFFFF"/>
          <w:lang w:val="en-GB"/>
        </w:rPr>
        <w:t>Its decision upheld t</w:t>
      </w:r>
      <w:r w:rsidR="00F603E3" w:rsidRPr="00844C55">
        <w:rPr>
          <w:rFonts w:eastAsia="SimSun"/>
          <w:shd w:val="clear" w:color="auto" w:fill="FFFFFF"/>
          <w:lang w:val="en-GB"/>
        </w:rPr>
        <w:t>he Commission</w:t>
      </w:r>
      <w:r w:rsidR="009574E9" w:rsidRPr="00844C55">
        <w:rPr>
          <w:rFonts w:eastAsia="SimSun"/>
          <w:shd w:val="clear" w:color="auto" w:fill="FFFFFF"/>
          <w:lang w:val="en-GB"/>
        </w:rPr>
        <w:t>’s position</w:t>
      </w:r>
      <w:r w:rsidR="00F603E3" w:rsidRPr="00844C55">
        <w:rPr>
          <w:rFonts w:eastAsia="SimSun"/>
          <w:shd w:val="clear" w:color="auto" w:fill="FFFFFF"/>
          <w:lang w:val="en-GB"/>
        </w:rPr>
        <w:t xml:space="preserve"> that reverse engineering and Linux could not form viable substitute to the access to interoperability information. </w:t>
      </w:r>
    </w:p>
    <w:p w:rsidR="00D8492E" w:rsidRPr="00D8492E" w:rsidRDefault="00D8492E" w:rsidP="00D8492E">
      <w:pPr>
        <w:pStyle w:val="Heading4"/>
        <w:rPr>
          <w:rFonts w:eastAsia="SimSun"/>
          <w:shd w:val="clear" w:color="auto" w:fill="FFFFFF"/>
          <w:lang w:val="en-GB"/>
        </w:rPr>
      </w:pPr>
      <w:r>
        <w:rPr>
          <w:rFonts w:eastAsia="SimSun" w:hint="eastAsia"/>
          <w:shd w:val="clear" w:color="auto" w:fill="FFFFFF"/>
          <w:lang w:val="en-GB"/>
        </w:rPr>
        <w:t>Refusal to supply - IPRs</w:t>
      </w:r>
    </w:p>
    <w:p w:rsidR="00246139" w:rsidRPr="002F6691" w:rsidRDefault="00246139" w:rsidP="00246139">
      <w:pPr>
        <w:rPr>
          <w:rFonts w:eastAsia="SimSun" w:cs="Times New Roman"/>
          <w:lang w:val="en-GB"/>
        </w:rPr>
      </w:pPr>
      <w:r>
        <w:rPr>
          <w:rFonts w:eastAsia="SimSun" w:hint="eastAsia"/>
          <w:lang w:val="en-GB"/>
        </w:rPr>
        <w:t xml:space="preserve">For a very long time, European </w:t>
      </w:r>
      <w:r w:rsidRPr="002F6691">
        <w:rPr>
          <w:rFonts w:eastAsia="SimSun"/>
          <w:lang w:val="en-GB"/>
        </w:rPr>
        <w:t>court</w:t>
      </w:r>
      <w:r>
        <w:rPr>
          <w:rFonts w:eastAsia="SimSun" w:hint="eastAsia"/>
          <w:lang w:val="en-GB"/>
        </w:rPr>
        <w:t>s</w:t>
      </w:r>
      <w:r w:rsidRPr="002F6691">
        <w:rPr>
          <w:rFonts w:eastAsia="SimSun"/>
          <w:lang w:val="en-GB"/>
        </w:rPr>
        <w:t xml:space="preserve"> carefully avoided answering whether </w:t>
      </w:r>
      <w:r w:rsidR="00606FCB">
        <w:rPr>
          <w:rFonts w:eastAsia="SimSun"/>
          <w:lang w:val="en-GB"/>
        </w:rPr>
        <w:t>IP</w:t>
      </w:r>
      <w:r w:rsidR="00D8492E">
        <w:rPr>
          <w:rFonts w:eastAsia="SimSun" w:hint="eastAsia"/>
          <w:lang w:val="en-GB"/>
        </w:rPr>
        <w:t>s</w:t>
      </w:r>
      <w:r w:rsidR="00606FCB">
        <w:rPr>
          <w:rFonts w:eastAsia="SimSun"/>
          <w:lang w:val="en-GB"/>
        </w:rPr>
        <w:t xml:space="preserve"> </w:t>
      </w:r>
      <w:r w:rsidRPr="002F6691">
        <w:rPr>
          <w:rFonts w:eastAsia="SimSun"/>
          <w:lang w:val="en-GB"/>
        </w:rPr>
        <w:t xml:space="preserve">should be treated differently from other forms of property in the framework of refusal to supply.  </w:t>
      </w:r>
      <w:r w:rsidR="00D8492E">
        <w:rPr>
          <w:rFonts w:eastAsia="SimSun" w:hint="eastAsia"/>
          <w:lang w:val="en-GB"/>
        </w:rPr>
        <w:t>T</w:t>
      </w:r>
      <w:r w:rsidR="00D8492E" w:rsidRPr="002F6691">
        <w:rPr>
          <w:rFonts w:ascii="Times-Roman" w:hAnsi="Times-Roman" w:cs="Times-Roman"/>
          <w:szCs w:val="24"/>
          <w:lang w:val="en-GB" w:bidi="ar-SA"/>
        </w:rPr>
        <w:t xml:space="preserve">he </w:t>
      </w:r>
      <w:r w:rsidR="00D8492E" w:rsidRPr="002F6691">
        <w:rPr>
          <w:rFonts w:ascii="Times-Roman" w:eastAsia="SimSun" w:hAnsi="Times-Roman" w:cs="Times-Roman"/>
          <w:szCs w:val="24"/>
          <w:lang w:val="en-GB" w:bidi="ar-SA"/>
        </w:rPr>
        <w:t xml:space="preserve">Commission </w:t>
      </w:r>
      <w:r w:rsidR="00D8492E" w:rsidRPr="002F6691">
        <w:rPr>
          <w:rFonts w:ascii="Times-Roman" w:hAnsi="Times-Roman" w:cs="Times-Roman"/>
          <w:szCs w:val="24"/>
          <w:lang w:val="en-GB" w:bidi="ar-SA"/>
        </w:rPr>
        <w:t xml:space="preserve">seemingly </w:t>
      </w:r>
      <w:r w:rsidR="00D8492E" w:rsidRPr="002F6691">
        <w:rPr>
          <w:rFonts w:ascii="Times-Roman" w:eastAsia="SimSun" w:hAnsi="Times-Roman" w:cs="Times-Roman"/>
          <w:szCs w:val="24"/>
          <w:lang w:val="en-GB" w:bidi="ar-SA"/>
        </w:rPr>
        <w:t xml:space="preserve">does not </w:t>
      </w:r>
      <w:r w:rsidR="00D8492E" w:rsidRPr="002F6691">
        <w:rPr>
          <w:rFonts w:ascii="Times-Roman" w:hAnsi="Times-Roman" w:cs="Times-Roman"/>
          <w:szCs w:val="24"/>
          <w:lang w:val="en-GB" w:bidi="ar-SA"/>
        </w:rPr>
        <w:t>wish to make a distinction between intellectual property and</w:t>
      </w:r>
      <w:r w:rsidR="00D8492E" w:rsidRPr="002F6691">
        <w:rPr>
          <w:rFonts w:ascii="Times-Roman" w:eastAsia="SimSun" w:hAnsi="Times-Roman" w:cs="Times-Roman"/>
          <w:szCs w:val="24"/>
          <w:lang w:val="en-GB" w:bidi="ar-SA"/>
        </w:rPr>
        <w:t xml:space="preserve"> </w:t>
      </w:r>
      <w:r w:rsidR="00D8492E" w:rsidRPr="002F6691">
        <w:rPr>
          <w:rFonts w:ascii="Times-Roman" w:hAnsi="Times-Roman" w:cs="Times-Roman"/>
          <w:szCs w:val="24"/>
          <w:lang w:val="en-GB" w:bidi="ar-SA"/>
        </w:rPr>
        <w:t>other forms of property</w:t>
      </w:r>
      <w:r w:rsidR="00D8492E" w:rsidRPr="002F6691">
        <w:rPr>
          <w:rFonts w:ascii="Times-Roman" w:eastAsia="SimSun" w:hAnsi="Times-Roman" w:cs="Times-Roman"/>
          <w:szCs w:val="24"/>
          <w:lang w:val="en-GB" w:bidi="ar-SA"/>
        </w:rPr>
        <w:t xml:space="preserve"> with regards to the obligation to supply of dominant firms.</w:t>
      </w:r>
      <w:r w:rsidR="00D8492E">
        <w:rPr>
          <w:rFonts w:ascii="Times-Roman" w:eastAsia="SimSun" w:hAnsi="Times-Roman" w:cs="Times-Roman" w:hint="eastAsia"/>
          <w:szCs w:val="24"/>
          <w:lang w:val="en-GB" w:bidi="ar-SA"/>
        </w:rPr>
        <w:t xml:space="preserve"> </w:t>
      </w:r>
      <w:r w:rsidRPr="002F6691">
        <w:rPr>
          <w:rFonts w:eastAsia="SimSun"/>
          <w:lang w:val="en-GB"/>
        </w:rPr>
        <w:t xml:space="preserve">According to the Commission, refusals to license </w:t>
      </w:r>
      <w:r w:rsidR="00606FCB">
        <w:rPr>
          <w:rFonts w:eastAsia="SimSun"/>
          <w:lang w:val="en-GB"/>
        </w:rPr>
        <w:t xml:space="preserve">IPRs </w:t>
      </w:r>
      <w:r w:rsidRPr="002F6691">
        <w:rPr>
          <w:rFonts w:eastAsia="SimSun"/>
          <w:lang w:val="en-GB"/>
        </w:rPr>
        <w:t>are a subset of practice under refusals to supply.</w:t>
      </w:r>
      <w:r w:rsidRPr="002F6691">
        <w:rPr>
          <w:rStyle w:val="FootnoteReference"/>
          <w:rFonts w:eastAsia="SimSun"/>
          <w:lang w:val="en-GB"/>
        </w:rPr>
        <w:footnoteReference w:id="39"/>
      </w:r>
      <w:r w:rsidRPr="002F6691">
        <w:rPr>
          <w:rFonts w:eastAsia="SimSun"/>
          <w:lang w:val="en-GB"/>
        </w:rPr>
        <w:t xml:space="preserve"> The refusal does not have to be an actual one on the part of a dominant firm. An unreasonable high price or unduly delay can be construed as a constructive refusal which is also an abuse.</w:t>
      </w:r>
      <w:r w:rsidRPr="002F6691">
        <w:rPr>
          <w:rStyle w:val="FootnoteReference"/>
          <w:rFonts w:eastAsia="SimSun"/>
          <w:lang w:val="en-GB"/>
        </w:rPr>
        <w:footnoteReference w:id="40"/>
      </w:r>
      <w:r w:rsidRPr="002F6691">
        <w:rPr>
          <w:rFonts w:eastAsia="SimSun"/>
          <w:lang w:val="en-GB"/>
        </w:rPr>
        <w:t xml:space="preserve"> </w:t>
      </w:r>
      <w:r w:rsidRPr="002F6691">
        <w:rPr>
          <w:rFonts w:eastAsia="SimSun" w:cs="Times New Roman"/>
          <w:lang w:val="en-GB"/>
        </w:rPr>
        <w:t xml:space="preserve">Despite the inconsistent and obscure definitions to the “exceptional circumstances” given by European courts, the Commission considers intervention to the refusals to supply if the </w:t>
      </w:r>
      <w:r w:rsidRPr="002F6691">
        <w:rPr>
          <w:rFonts w:eastAsia="SimSun" w:cs="Times New Roman"/>
          <w:lang w:val="en-GB"/>
        </w:rPr>
        <w:lastRenderedPageBreak/>
        <w:t xml:space="preserve">following circumstances are present, 1) the refusal relates to a product or service that is objectively necessary to be able to compete effectively on a downstream market, 2) the refusal is likely to lead to the elimination of effective competition on the downstream market, and 3) the refusal is likely to lead to consumer harm. </w:t>
      </w:r>
      <w:r w:rsidRPr="002F6691">
        <w:rPr>
          <w:rStyle w:val="FootnoteReference"/>
          <w:rFonts w:eastAsia="SimSun" w:cs="Times New Roman"/>
          <w:lang w:val="en-GB"/>
        </w:rPr>
        <w:footnoteReference w:id="41"/>
      </w:r>
      <w:r w:rsidRPr="002F6691">
        <w:rPr>
          <w:rFonts w:cs="Times New Roman"/>
          <w:lang w:val="en-GB"/>
        </w:rPr>
        <w:t xml:space="preserve"> </w:t>
      </w:r>
    </w:p>
    <w:p w:rsidR="0096625E" w:rsidRPr="00844C55" w:rsidRDefault="0096625E" w:rsidP="0096625E">
      <w:pPr>
        <w:pStyle w:val="Heading3"/>
        <w:rPr>
          <w:rFonts w:eastAsia="SimSun"/>
          <w:lang w:val="en-GB" w:bidi="ar-SA"/>
        </w:rPr>
      </w:pPr>
      <w:r w:rsidRPr="00844C55">
        <w:rPr>
          <w:rFonts w:eastAsia="SimSun"/>
          <w:lang w:val="en-GB" w:bidi="ar-SA"/>
        </w:rPr>
        <w:t>Standard related abuse</w:t>
      </w:r>
    </w:p>
    <w:p w:rsidR="004A0D66" w:rsidRPr="00844C55" w:rsidRDefault="0096625E" w:rsidP="0096625E">
      <w:pPr>
        <w:rPr>
          <w:rFonts w:eastAsia="SimSun"/>
          <w:lang w:val="en-GB"/>
        </w:rPr>
      </w:pPr>
      <w:r w:rsidRPr="00844C55">
        <w:rPr>
          <w:lang w:val="en-GB"/>
        </w:rPr>
        <w:t xml:space="preserve">Standardisation is believed to be pro-competitive as it may give rise to efficiency gains and further innovation. </w:t>
      </w:r>
      <w:r w:rsidRPr="00844C55">
        <w:rPr>
          <w:rFonts w:eastAsia="SimSun"/>
          <w:lang w:val="en-GB"/>
        </w:rPr>
        <w:t xml:space="preserve">It is in </w:t>
      </w:r>
      <w:r w:rsidRPr="00844C55">
        <w:rPr>
          <w:lang w:val="en-GB"/>
        </w:rPr>
        <w:t xml:space="preserve">the overall interest of </w:t>
      </w:r>
      <w:r w:rsidRPr="00844C55">
        <w:rPr>
          <w:rFonts w:eastAsia="SimSun"/>
          <w:lang w:val="en-GB"/>
        </w:rPr>
        <w:t>market players to</w:t>
      </w:r>
      <w:r w:rsidRPr="00844C55">
        <w:rPr>
          <w:lang w:val="en-GB"/>
        </w:rPr>
        <w:t xml:space="preserve"> </w:t>
      </w:r>
      <w:r w:rsidRPr="00844C55">
        <w:rPr>
          <w:rFonts w:eastAsia="SimSun"/>
          <w:lang w:val="en-GB"/>
        </w:rPr>
        <w:t>c</w:t>
      </w:r>
      <w:r w:rsidRPr="00844C55">
        <w:rPr>
          <w:lang w:val="en-GB"/>
        </w:rPr>
        <w:t>omplying with certain standards. However,</w:t>
      </w:r>
      <w:r w:rsidR="00BE21AE" w:rsidRPr="00844C55">
        <w:rPr>
          <w:rFonts w:eastAsia="SimSun"/>
          <w:lang w:val="en-GB"/>
        </w:rPr>
        <w:t xml:space="preserve"> standards may bring competition problems as well. </w:t>
      </w:r>
      <w:r w:rsidR="00BE21AE" w:rsidRPr="00844C55">
        <w:rPr>
          <w:rFonts w:cs="Times New Roman"/>
          <w:szCs w:val="24"/>
          <w:lang w:val="en-GB" w:bidi="ar-SA"/>
        </w:rPr>
        <w:t>The process</w:t>
      </w:r>
      <w:r w:rsidR="00BE21AE" w:rsidRPr="00844C55">
        <w:rPr>
          <w:rFonts w:eastAsia="SimSun" w:cs="Times New Roman"/>
          <w:szCs w:val="24"/>
          <w:lang w:val="en-GB" w:bidi="ar-SA"/>
        </w:rPr>
        <w:t xml:space="preserve"> </w:t>
      </w:r>
      <w:r w:rsidR="00BE21AE" w:rsidRPr="00844C55">
        <w:rPr>
          <w:rFonts w:cs="Times New Roman"/>
          <w:szCs w:val="24"/>
          <w:lang w:val="en-GB" w:bidi="ar-SA"/>
        </w:rPr>
        <w:t xml:space="preserve">of standard-setting </w:t>
      </w:r>
      <w:r w:rsidR="00BE21AE" w:rsidRPr="00844C55">
        <w:rPr>
          <w:rFonts w:eastAsia="SimSun" w:cs="Times New Roman"/>
          <w:szCs w:val="24"/>
          <w:lang w:val="en-GB" w:bidi="ar-SA"/>
        </w:rPr>
        <w:t>leading to a</w:t>
      </w:r>
      <w:r w:rsidR="00BE21AE" w:rsidRPr="00844C55">
        <w:rPr>
          <w:rFonts w:cs="Times New Roman"/>
          <w:szCs w:val="24"/>
          <w:lang w:val="en-GB" w:bidi="ar-SA"/>
        </w:rPr>
        <w:t xml:space="preserve"> collective decisio</w:t>
      </w:r>
      <w:r w:rsidR="00BE21AE" w:rsidRPr="00844C55">
        <w:rPr>
          <w:rFonts w:eastAsia="SimSun" w:cs="Times New Roman"/>
          <w:szCs w:val="24"/>
          <w:lang w:val="en-GB" w:bidi="ar-SA"/>
        </w:rPr>
        <w:t xml:space="preserve">n may entail </w:t>
      </w:r>
      <w:r w:rsidR="00BE21AE" w:rsidRPr="00844C55">
        <w:rPr>
          <w:rFonts w:cs="Times New Roman"/>
          <w:szCs w:val="24"/>
          <w:lang w:val="en-GB" w:bidi="ar-SA"/>
        </w:rPr>
        <w:t>a risk of anticompetitive</w:t>
      </w:r>
      <w:r w:rsidR="00BE21AE" w:rsidRPr="00844C55">
        <w:rPr>
          <w:rFonts w:eastAsia="SimSun" w:cs="Times New Roman"/>
          <w:szCs w:val="24"/>
          <w:lang w:val="en-GB" w:bidi="ar-SA"/>
        </w:rPr>
        <w:t xml:space="preserve"> </w:t>
      </w:r>
      <w:r w:rsidR="00BE21AE" w:rsidRPr="00844C55">
        <w:rPr>
          <w:rFonts w:cs="Times New Roman"/>
          <w:szCs w:val="24"/>
          <w:lang w:val="en-GB" w:bidi="ar-SA"/>
        </w:rPr>
        <w:t>outcome</w:t>
      </w:r>
      <w:r w:rsidR="00BE21AE" w:rsidRPr="00844C55">
        <w:rPr>
          <w:lang w:val="en-GB"/>
        </w:rPr>
        <w:t>,</w:t>
      </w:r>
      <w:r w:rsidR="00BE21AE" w:rsidRPr="00844C55">
        <w:rPr>
          <w:rFonts w:eastAsia="SimSun"/>
          <w:lang w:val="en-GB"/>
        </w:rPr>
        <w:t xml:space="preserve"> e.g. the discussion in relation to standard setting can facilitate collusion between competitors. Moreover, t</w:t>
      </w:r>
      <w:r w:rsidR="004A0D66" w:rsidRPr="00844C55">
        <w:rPr>
          <w:rFonts w:eastAsia="SimSun"/>
          <w:lang w:val="en-GB"/>
        </w:rPr>
        <w:t xml:space="preserve">he creation of formal standards </w:t>
      </w:r>
      <w:r w:rsidR="00BE21AE" w:rsidRPr="00844C55">
        <w:rPr>
          <w:rFonts w:eastAsia="SimSun"/>
          <w:lang w:val="en-GB"/>
        </w:rPr>
        <w:t xml:space="preserve">inevitably </w:t>
      </w:r>
      <w:r w:rsidR="004A0D66" w:rsidRPr="00844C55">
        <w:rPr>
          <w:rFonts w:eastAsia="SimSun"/>
          <w:lang w:val="en-GB"/>
        </w:rPr>
        <w:t xml:space="preserve">eliminates technology competition and </w:t>
      </w:r>
      <w:r w:rsidR="00BE21AE" w:rsidRPr="00844C55">
        <w:rPr>
          <w:rFonts w:eastAsia="SimSun"/>
          <w:lang w:val="en-GB"/>
        </w:rPr>
        <w:t xml:space="preserve">the </w:t>
      </w:r>
      <w:r w:rsidR="00524C89" w:rsidRPr="00844C55">
        <w:rPr>
          <w:rFonts w:eastAsia="SimSun"/>
          <w:lang w:val="en-GB"/>
        </w:rPr>
        <w:t xml:space="preserve">holder of an </w:t>
      </w:r>
      <w:r w:rsidR="00606FCB">
        <w:rPr>
          <w:rFonts w:eastAsia="SimSun"/>
          <w:lang w:val="en-GB"/>
        </w:rPr>
        <w:t xml:space="preserve">IPR </w:t>
      </w:r>
      <w:r w:rsidR="00BE21AE" w:rsidRPr="00844C55">
        <w:rPr>
          <w:rFonts w:eastAsia="SimSun"/>
          <w:lang w:val="en-GB"/>
        </w:rPr>
        <w:t xml:space="preserve">which is </w:t>
      </w:r>
      <w:r w:rsidR="00524C89" w:rsidRPr="00844C55">
        <w:rPr>
          <w:rFonts w:eastAsia="SimSun"/>
          <w:lang w:val="en-GB"/>
        </w:rPr>
        <w:t>essential to</w:t>
      </w:r>
      <w:r w:rsidR="00BE21AE" w:rsidRPr="00844C55">
        <w:rPr>
          <w:rFonts w:eastAsia="SimSun"/>
          <w:lang w:val="en-GB"/>
        </w:rPr>
        <w:t xml:space="preserve"> a standard</w:t>
      </w:r>
      <w:r w:rsidR="0090708B" w:rsidRPr="00844C55">
        <w:rPr>
          <w:rFonts w:eastAsia="SimSun"/>
          <w:lang w:val="en-GB"/>
        </w:rPr>
        <w:t xml:space="preserve"> may enjoy a d</w:t>
      </w:r>
      <w:r w:rsidR="000517B7" w:rsidRPr="00844C55">
        <w:rPr>
          <w:rFonts w:eastAsia="SimSun"/>
          <w:lang w:val="en-GB"/>
        </w:rPr>
        <w:t>e</w:t>
      </w:r>
      <w:r w:rsidR="0090708B" w:rsidRPr="00844C55">
        <w:rPr>
          <w:rFonts w:eastAsia="SimSun"/>
          <w:lang w:val="en-GB"/>
        </w:rPr>
        <w:t xml:space="preserve"> facto monopoly, or at least a significant market power</w:t>
      </w:r>
      <w:r w:rsidR="004A0D66" w:rsidRPr="00844C55">
        <w:rPr>
          <w:rFonts w:eastAsia="SimSun"/>
          <w:lang w:val="en-GB"/>
        </w:rPr>
        <w:t>.</w:t>
      </w:r>
      <w:r w:rsidR="0090708B" w:rsidRPr="00844C55">
        <w:rPr>
          <w:rFonts w:eastAsia="SimSun"/>
          <w:lang w:val="en-GB"/>
        </w:rPr>
        <w:t xml:space="preserve"> </w:t>
      </w:r>
      <w:r w:rsidR="00524C89" w:rsidRPr="00844C55">
        <w:rPr>
          <w:rFonts w:eastAsia="SimSun"/>
          <w:lang w:val="en-GB"/>
        </w:rPr>
        <w:t xml:space="preserve">Any firm planning to adopt </w:t>
      </w:r>
      <w:r w:rsidR="00BE76C5" w:rsidRPr="00844C55">
        <w:rPr>
          <w:rFonts w:eastAsia="SimSun"/>
          <w:lang w:val="en-GB"/>
        </w:rPr>
        <w:t>the</w:t>
      </w:r>
      <w:r w:rsidR="00524C89" w:rsidRPr="00844C55">
        <w:rPr>
          <w:rFonts w:eastAsia="SimSun"/>
          <w:lang w:val="en-GB"/>
        </w:rPr>
        <w:t xml:space="preserve"> standard should first obtain a licence of the essential </w:t>
      </w:r>
      <w:r w:rsidR="00606FCB">
        <w:rPr>
          <w:rFonts w:eastAsia="SimSun"/>
          <w:lang w:val="en-GB"/>
        </w:rPr>
        <w:t xml:space="preserve">IPR </w:t>
      </w:r>
      <w:r w:rsidR="00524C89" w:rsidRPr="00844C55">
        <w:rPr>
          <w:rFonts w:eastAsia="SimSun"/>
          <w:lang w:val="en-GB"/>
        </w:rPr>
        <w:t>from the holder.</w:t>
      </w:r>
    </w:p>
    <w:p w:rsidR="00FD3FF8" w:rsidRPr="00844C55" w:rsidRDefault="00FD3FF8" w:rsidP="00CE18D4">
      <w:pPr>
        <w:ind w:left="720"/>
        <w:rPr>
          <w:rFonts w:eastAsia="SimSun"/>
          <w:iCs/>
          <w:lang w:val="en-GB"/>
        </w:rPr>
      </w:pPr>
      <w:r w:rsidRPr="00844C55">
        <w:rPr>
          <w:rFonts w:eastAsia="SimSun"/>
          <w:iCs/>
          <w:lang w:val="en-GB"/>
        </w:rPr>
        <w:t xml:space="preserve">“Thus, ex post, the owner of a patented technology necessary to implement the standard may have the power to extract higher royalties or other licensing terms that reflect the </w:t>
      </w:r>
      <w:r w:rsidRPr="00CE18D4">
        <w:rPr>
          <w:shd w:val="clear" w:color="auto" w:fill="FFFFFF"/>
          <w:lang w:val="en-GB"/>
        </w:rPr>
        <w:t>absence</w:t>
      </w:r>
      <w:r w:rsidRPr="00844C55">
        <w:rPr>
          <w:rFonts w:eastAsia="SimSun"/>
          <w:iCs/>
          <w:lang w:val="en-GB"/>
        </w:rPr>
        <w:t xml:space="preserve"> of competitive alternatives.  Consumers of the products using the standard would be harmed if those higher royalties were passed on in the form of higher prices.” </w:t>
      </w:r>
      <w:r w:rsidR="0090708B" w:rsidRPr="00844C55">
        <w:rPr>
          <w:rStyle w:val="FootnoteReference"/>
          <w:rFonts w:eastAsia="SimSun"/>
          <w:iCs/>
          <w:lang w:val="en-GB"/>
        </w:rPr>
        <w:footnoteReference w:id="42"/>
      </w:r>
    </w:p>
    <w:p w:rsidR="0096625E" w:rsidRPr="00844C55" w:rsidRDefault="00BE76C5" w:rsidP="0096625E">
      <w:pPr>
        <w:rPr>
          <w:rFonts w:eastAsia="SimSun"/>
          <w:szCs w:val="24"/>
          <w:lang w:val="en-GB"/>
        </w:rPr>
      </w:pPr>
      <w:r w:rsidRPr="00844C55">
        <w:rPr>
          <w:rFonts w:eastAsia="SimSun"/>
          <w:iCs/>
          <w:lang w:val="en-GB"/>
        </w:rPr>
        <w:t xml:space="preserve">To prevent the anti-competitive outcome, the standard setting organization may </w:t>
      </w:r>
      <w:r w:rsidR="00D849BA" w:rsidRPr="00844C55">
        <w:rPr>
          <w:rFonts w:eastAsia="SimSun"/>
          <w:iCs/>
          <w:lang w:val="en-GB"/>
        </w:rPr>
        <w:t xml:space="preserve">require the holders of </w:t>
      </w:r>
      <w:r w:rsidR="00606FCB">
        <w:rPr>
          <w:rFonts w:eastAsia="SimSun"/>
          <w:iCs/>
          <w:lang w:val="en-GB"/>
        </w:rPr>
        <w:t xml:space="preserve">IPRs </w:t>
      </w:r>
      <w:r w:rsidR="00D849BA" w:rsidRPr="00844C55">
        <w:rPr>
          <w:rFonts w:eastAsia="SimSun"/>
          <w:iCs/>
          <w:lang w:val="en-GB"/>
        </w:rPr>
        <w:t xml:space="preserve">to make some </w:t>
      </w:r>
      <w:r w:rsidR="00D849BA" w:rsidRPr="00844C55">
        <w:rPr>
          <w:lang w:val="en-GB"/>
        </w:rPr>
        <w:t>commit</w:t>
      </w:r>
      <w:r w:rsidR="00D849BA" w:rsidRPr="00844C55">
        <w:rPr>
          <w:rFonts w:eastAsia="SimSun"/>
          <w:lang w:val="en-GB"/>
        </w:rPr>
        <w:t>ments, such as</w:t>
      </w:r>
      <w:r w:rsidR="00D849BA" w:rsidRPr="00844C55">
        <w:rPr>
          <w:lang w:val="en-GB"/>
        </w:rPr>
        <w:t xml:space="preserve"> </w:t>
      </w:r>
      <w:r w:rsidR="00D849BA" w:rsidRPr="00844C55">
        <w:rPr>
          <w:rFonts w:eastAsia="SimSun"/>
          <w:lang w:val="en-GB"/>
        </w:rPr>
        <w:t xml:space="preserve">to </w:t>
      </w:r>
      <w:r w:rsidR="00D849BA" w:rsidRPr="00844C55">
        <w:rPr>
          <w:lang w:val="en-GB"/>
        </w:rPr>
        <w:t>licens</w:t>
      </w:r>
      <w:r w:rsidR="00D849BA" w:rsidRPr="00844C55">
        <w:rPr>
          <w:rFonts w:eastAsia="SimSun"/>
          <w:lang w:val="en-GB"/>
        </w:rPr>
        <w:t>e</w:t>
      </w:r>
      <w:r w:rsidR="00D849BA" w:rsidRPr="00844C55">
        <w:rPr>
          <w:lang w:val="en-GB"/>
        </w:rPr>
        <w:t xml:space="preserve"> </w:t>
      </w:r>
      <w:r w:rsidR="00366BEC" w:rsidRPr="00844C55">
        <w:rPr>
          <w:rFonts w:eastAsia="SimSun"/>
          <w:lang w:val="en-GB"/>
        </w:rPr>
        <w:t>their</w:t>
      </w:r>
      <w:r w:rsidR="00D849BA" w:rsidRPr="00844C55">
        <w:rPr>
          <w:rFonts w:eastAsia="SimSun"/>
          <w:lang w:val="en-GB"/>
        </w:rPr>
        <w:t xml:space="preserve"> </w:t>
      </w:r>
      <w:r w:rsidR="00606FCB">
        <w:rPr>
          <w:rFonts w:eastAsia="SimSun"/>
          <w:lang w:val="en-GB"/>
        </w:rPr>
        <w:t xml:space="preserve">IPRs </w:t>
      </w:r>
      <w:r w:rsidR="00D849BA" w:rsidRPr="00844C55">
        <w:rPr>
          <w:lang w:val="en-GB"/>
        </w:rPr>
        <w:t xml:space="preserve">on “fair, reasonable and non-discriminatory terms” </w:t>
      </w:r>
      <w:r w:rsidR="00D849BA" w:rsidRPr="00844C55">
        <w:rPr>
          <w:rFonts w:eastAsia="SimSun"/>
          <w:lang w:val="en-GB"/>
        </w:rPr>
        <w:t xml:space="preserve">(FRAND). </w:t>
      </w:r>
      <w:r w:rsidR="00D827E6" w:rsidRPr="00844C55">
        <w:rPr>
          <w:rFonts w:eastAsia="SimSun"/>
          <w:lang w:val="en-GB"/>
        </w:rPr>
        <w:t xml:space="preserve">A failure in fulfilling the commitments may </w:t>
      </w:r>
      <w:r w:rsidR="0065743A" w:rsidRPr="00844C55">
        <w:rPr>
          <w:rFonts w:eastAsia="SimSun"/>
          <w:lang w:val="en-GB"/>
        </w:rPr>
        <w:t xml:space="preserve">constitute a violation of Article 102. </w:t>
      </w:r>
      <w:r w:rsidR="0096625E" w:rsidRPr="00844C55">
        <w:rPr>
          <w:rFonts w:eastAsia="SimSun"/>
          <w:lang w:val="en-GB"/>
        </w:rPr>
        <w:t>The two major abusive issues related to s</w:t>
      </w:r>
      <w:r w:rsidR="008D4FB6" w:rsidRPr="00844C55">
        <w:rPr>
          <w:rFonts w:eastAsia="SimSun"/>
          <w:lang w:val="en-GB"/>
        </w:rPr>
        <w:t xml:space="preserve">tandards are a breach of a </w:t>
      </w:r>
      <w:r w:rsidR="00366BEC">
        <w:rPr>
          <w:rFonts w:eastAsia="SimSun" w:hint="eastAsia"/>
          <w:lang w:val="en-GB"/>
        </w:rPr>
        <w:t xml:space="preserve">FRAND </w:t>
      </w:r>
      <w:r w:rsidR="0096625E" w:rsidRPr="00844C55">
        <w:rPr>
          <w:rFonts w:eastAsia="SimSun"/>
          <w:lang w:val="en-GB"/>
        </w:rPr>
        <w:t>commitment and a patent ambush.</w:t>
      </w:r>
    </w:p>
    <w:p w:rsidR="0096625E" w:rsidRPr="00844C55" w:rsidRDefault="0096625E" w:rsidP="0096625E">
      <w:pPr>
        <w:rPr>
          <w:rFonts w:eastAsia="SimSun"/>
          <w:lang w:val="en-GB"/>
        </w:rPr>
      </w:pPr>
      <w:r w:rsidRPr="00844C55">
        <w:rPr>
          <w:rFonts w:eastAsia="SimSun"/>
          <w:lang w:val="en-GB"/>
        </w:rPr>
        <w:t xml:space="preserve">In </w:t>
      </w:r>
      <w:proofErr w:type="spellStart"/>
      <w:r w:rsidRPr="00844C55">
        <w:rPr>
          <w:rFonts w:eastAsia="SimSun"/>
          <w:i/>
          <w:lang w:val="en-GB"/>
        </w:rPr>
        <w:t>IPCom</w:t>
      </w:r>
      <w:proofErr w:type="spellEnd"/>
      <w:r w:rsidRPr="00844C55">
        <w:rPr>
          <w:rStyle w:val="FootnoteReference"/>
          <w:rFonts w:eastAsia="SimSun"/>
          <w:lang w:val="en-GB"/>
        </w:rPr>
        <w:footnoteReference w:id="43"/>
      </w:r>
      <w:r w:rsidRPr="00844C55">
        <w:rPr>
          <w:rFonts w:eastAsia="SimSun"/>
          <w:lang w:val="en-GB"/>
        </w:rPr>
        <w:t>,</w:t>
      </w:r>
      <w:r w:rsidRPr="00844C55">
        <w:rPr>
          <w:rFonts w:eastAsia="SimSun"/>
          <w:i/>
          <w:lang w:val="en-GB"/>
        </w:rPr>
        <w:t xml:space="preserve"> </w:t>
      </w:r>
      <w:r w:rsidRPr="00844C55">
        <w:rPr>
          <w:rFonts w:eastAsia="SimSun"/>
          <w:lang w:val="en-GB"/>
        </w:rPr>
        <w:t xml:space="preserve">the German IP licensing company </w:t>
      </w:r>
      <w:proofErr w:type="spellStart"/>
      <w:r w:rsidRPr="00844C55">
        <w:rPr>
          <w:rFonts w:eastAsia="SimSun"/>
          <w:lang w:val="en-GB"/>
        </w:rPr>
        <w:t>IPCom</w:t>
      </w:r>
      <w:proofErr w:type="spellEnd"/>
      <w:r w:rsidRPr="00844C55">
        <w:rPr>
          <w:rFonts w:eastAsia="SimSun"/>
          <w:lang w:val="en-GB"/>
        </w:rPr>
        <w:t xml:space="preserve"> acquired some patents from Bosch which are essential for various standards and had been granted on FRAND terms by Bosch in accordance with its irrevocable FRAND commitments. Initially, </w:t>
      </w:r>
      <w:proofErr w:type="spellStart"/>
      <w:r w:rsidRPr="00844C55">
        <w:rPr>
          <w:rFonts w:eastAsia="SimSun"/>
          <w:lang w:val="en-GB"/>
        </w:rPr>
        <w:t>IPCom</w:t>
      </w:r>
      <w:proofErr w:type="spellEnd"/>
      <w:r w:rsidRPr="00844C55">
        <w:rPr>
          <w:rFonts w:eastAsia="SimSun"/>
          <w:lang w:val="en-GB"/>
        </w:rPr>
        <w:t xml:space="preserve"> did not plan to honour the commitments</w:t>
      </w:r>
      <w:r w:rsidR="008A6C43">
        <w:rPr>
          <w:rFonts w:eastAsia="SimSun" w:hint="eastAsia"/>
          <w:lang w:val="en-GB"/>
        </w:rPr>
        <w:t>.</w:t>
      </w:r>
      <w:r w:rsidRPr="00844C55">
        <w:rPr>
          <w:rFonts w:eastAsia="SimSun"/>
          <w:lang w:val="en-GB"/>
        </w:rPr>
        <w:t xml:space="preserve"> </w:t>
      </w:r>
      <w:r w:rsidR="008A6C43">
        <w:rPr>
          <w:rFonts w:eastAsia="SimSun" w:hint="eastAsia"/>
          <w:lang w:val="en-GB"/>
        </w:rPr>
        <w:t>B</w:t>
      </w:r>
      <w:r w:rsidRPr="00844C55">
        <w:rPr>
          <w:rFonts w:eastAsia="SimSun"/>
          <w:lang w:val="en-GB"/>
        </w:rPr>
        <w:t>ut</w:t>
      </w:r>
      <w:r w:rsidR="00EA3394">
        <w:rPr>
          <w:rFonts w:eastAsia="SimSun" w:hint="eastAsia"/>
          <w:lang w:val="en-GB"/>
        </w:rPr>
        <w:t xml:space="preserve"> it</w:t>
      </w:r>
      <w:r w:rsidRPr="00844C55">
        <w:rPr>
          <w:rFonts w:eastAsia="SimSun"/>
          <w:lang w:val="en-GB"/>
        </w:rPr>
        <w:t xml:space="preserve"> changed its mind and decided to grant licences on FRAND terms following its discussion with the Commission. The Commission welcomed th</w:t>
      </w:r>
      <w:r w:rsidR="00366BEC">
        <w:rPr>
          <w:rFonts w:eastAsia="SimSun" w:hint="eastAsia"/>
          <w:lang w:val="en-GB"/>
        </w:rPr>
        <w:t>is</w:t>
      </w:r>
      <w:r w:rsidRPr="00844C55">
        <w:rPr>
          <w:rFonts w:eastAsia="SimSun"/>
          <w:lang w:val="en-GB"/>
        </w:rPr>
        <w:t xml:space="preserve"> </w:t>
      </w:r>
      <w:r w:rsidRPr="00844C55">
        <w:rPr>
          <w:rFonts w:eastAsia="SimSun"/>
          <w:lang w:val="en-GB"/>
        </w:rPr>
        <w:lastRenderedPageBreak/>
        <w:t>decision by terminating its investigation. It emphasized that in order t</w:t>
      </w:r>
      <w:r w:rsidR="00366BEC">
        <w:rPr>
          <w:rFonts w:eastAsia="SimSun"/>
          <w:lang w:val="en-GB"/>
        </w:rPr>
        <w:t xml:space="preserve">o ensure effective access </w:t>
      </w:r>
      <w:proofErr w:type="gramStart"/>
      <w:r w:rsidR="00366BEC">
        <w:rPr>
          <w:rFonts w:eastAsia="SimSun"/>
          <w:lang w:val="en-GB"/>
        </w:rPr>
        <w:t xml:space="preserve">to </w:t>
      </w:r>
      <w:r w:rsidR="00366BEC">
        <w:rPr>
          <w:rFonts w:eastAsia="SimSun" w:hint="eastAsia"/>
          <w:lang w:val="en-GB"/>
        </w:rPr>
        <w:t>a</w:t>
      </w:r>
      <w:r w:rsidR="00366BEC">
        <w:rPr>
          <w:rFonts w:eastAsia="SimSun"/>
          <w:lang w:val="en-GB"/>
        </w:rPr>
        <w:t xml:space="preserve"> standard</w:t>
      </w:r>
      <w:r w:rsidR="00366BEC">
        <w:rPr>
          <w:rFonts w:eastAsia="SimSun" w:hint="eastAsia"/>
          <w:lang w:val="en-GB"/>
        </w:rPr>
        <w:t>,</w:t>
      </w:r>
      <w:r w:rsidRPr="00844C55">
        <w:rPr>
          <w:rFonts w:eastAsia="SimSun"/>
          <w:lang w:val="en-GB"/>
        </w:rPr>
        <w:t xml:space="preserve"> relevant </w:t>
      </w:r>
      <w:r w:rsidR="00D8492E">
        <w:rPr>
          <w:rFonts w:eastAsia="SimSun"/>
          <w:lang w:val="en-GB"/>
        </w:rPr>
        <w:t>IPR holders</w:t>
      </w:r>
      <w:proofErr w:type="gramEnd"/>
      <w:r w:rsidR="00D8492E">
        <w:rPr>
          <w:rFonts w:eastAsia="SimSun"/>
          <w:lang w:val="en-GB"/>
        </w:rPr>
        <w:t xml:space="preserve"> </w:t>
      </w:r>
      <w:r w:rsidRPr="00844C55">
        <w:rPr>
          <w:rFonts w:eastAsia="SimSun"/>
          <w:lang w:val="en-GB"/>
        </w:rPr>
        <w:t xml:space="preserve">must provide an irrevocable commitment to license their essential </w:t>
      </w:r>
      <w:r w:rsidR="00606FCB">
        <w:rPr>
          <w:rFonts w:eastAsia="SimSun"/>
          <w:lang w:val="en-GB"/>
        </w:rPr>
        <w:t xml:space="preserve">IPRs </w:t>
      </w:r>
      <w:r w:rsidRPr="00844C55">
        <w:rPr>
          <w:rFonts w:eastAsia="SimSun"/>
          <w:lang w:val="en-GB"/>
        </w:rPr>
        <w:t>on FRAND terms.</w:t>
      </w:r>
      <w:r w:rsidRPr="00844C55">
        <w:rPr>
          <w:rStyle w:val="FootnoteReference"/>
          <w:rFonts w:eastAsia="SimSun"/>
          <w:lang w:val="en-GB"/>
        </w:rPr>
        <w:footnoteReference w:id="44"/>
      </w:r>
      <w:r w:rsidRPr="00844C55">
        <w:rPr>
          <w:rFonts w:eastAsia="SimSun"/>
          <w:lang w:val="en-GB"/>
        </w:rPr>
        <w:t> The pro-competitive economic effects of standard setting would be terminated if the FRAND commitments were stopped with an assignment of the essential IP rights.</w:t>
      </w:r>
      <w:r w:rsidRPr="00844C55">
        <w:rPr>
          <w:rStyle w:val="FootnoteReference"/>
          <w:rFonts w:eastAsia="SimSun"/>
          <w:lang w:val="en-GB"/>
        </w:rPr>
        <w:footnoteReference w:id="45"/>
      </w:r>
      <w:r w:rsidRPr="00844C55">
        <w:rPr>
          <w:rFonts w:eastAsia="SimSun"/>
          <w:lang w:val="en-GB"/>
        </w:rPr>
        <w:t xml:space="preserve"> </w:t>
      </w:r>
    </w:p>
    <w:p w:rsidR="0096625E" w:rsidRPr="00844C55" w:rsidRDefault="0096625E" w:rsidP="0096625E">
      <w:pPr>
        <w:rPr>
          <w:rFonts w:eastAsia="SimSun"/>
          <w:lang w:val="en-GB"/>
        </w:rPr>
      </w:pPr>
      <w:r w:rsidRPr="00844C55">
        <w:rPr>
          <w:rFonts w:eastAsia="SimSun"/>
          <w:i/>
          <w:lang w:val="en-GB"/>
        </w:rPr>
        <w:t>Rambus</w:t>
      </w:r>
      <w:r w:rsidRPr="00844C55">
        <w:rPr>
          <w:vertAlign w:val="superscript"/>
          <w:lang w:val="en-GB"/>
        </w:rPr>
        <w:footnoteReference w:id="46"/>
      </w:r>
      <w:r w:rsidR="00366BEC">
        <w:rPr>
          <w:rFonts w:eastAsia="SimSun"/>
          <w:lang w:val="en-GB"/>
        </w:rPr>
        <w:t xml:space="preserve"> concerns </w:t>
      </w:r>
      <w:r w:rsidR="00366BEC">
        <w:rPr>
          <w:rFonts w:eastAsia="SimSun" w:hint="eastAsia"/>
          <w:lang w:val="en-GB"/>
        </w:rPr>
        <w:t>a</w:t>
      </w:r>
      <w:r w:rsidRPr="00844C55">
        <w:rPr>
          <w:rFonts w:eastAsia="SimSun"/>
          <w:lang w:val="en-GB"/>
        </w:rPr>
        <w:t xml:space="preserve"> patent ambush, namely, a</w:t>
      </w:r>
      <w:r w:rsidR="00366BEC">
        <w:rPr>
          <w:rFonts w:eastAsia="SimSun" w:hint="eastAsia"/>
          <w:lang w:val="en-GB"/>
        </w:rPr>
        <w:t>n</w:t>
      </w:r>
      <w:r w:rsidRPr="00844C55">
        <w:rPr>
          <w:rFonts w:eastAsia="SimSun"/>
          <w:lang w:val="en-GB"/>
        </w:rPr>
        <w:t xml:space="preserve"> infringement of the obligation on standard setting participants to disclose their relevant patents relevant before its adoption. On 30 July 2007, the Commission sent Rambus a Statement of Objections which outlined its preliminary view that Rambus may have infringed Article 102 by claiming unreasonable royalties for the use of certain patents for “Dynamic Random Access Memory” chips (DRAMS).</w:t>
      </w:r>
      <w:r w:rsidRPr="00844C55">
        <w:rPr>
          <w:rStyle w:val="FootnoteReference"/>
          <w:rFonts w:eastAsia="SimSun"/>
          <w:lang w:val="en-GB"/>
        </w:rPr>
        <w:footnoteReference w:id="47"/>
      </w:r>
      <w:r w:rsidRPr="00844C55">
        <w:rPr>
          <w:rFonts w:eastAsia="SimSun"/>
          <w:lang w:val="en-GB"/>
        </w:rPr>
        <w:t xml:space="preserve"> In the opinion of the Commission, Rambus’s failure to disclose </w:t>
      </w:r>
      <w:r w:rsidR="00EA3394" w:rsidRPr="00844C55">
        <w:rPr>
          <w:rFonts w:eastAsia="SimSun"/>
          <w:lang w:val="en-GB"/>
        </w:rPr>
        <w:t xml:space="preserve">in the standard setting process </w:t>
      </w:r>
      <w:r w:rsidRPr="00844C55">
        <w:rPr>
          <w:rFonts w:eastAsia="SimSun"/>
          <w:lang w:val="en-GB"/>
        </w:rPr>
        <w:t>the patents which it later claimed were relevant to the standard is an intentional deceptive conduct known as a “patent ambush”.</w:t>
      </w:r>
      <w:r w:rsidRPr="00844C55">
        <w:rPr>
          <w:rStyle w:val="FootnoteReference"/>
          <w:rFonts w:eastAsia="SimSun"/>
          <w:lang w:val="en-GB"/>
        </w:rPr>
        <w:footnoteReference w:id="48"/>
      </w:r>
      <w:r w:rsidRPr="00844C55">
        <w:rPr>
          <w:rFonts w:eastAsia="SimSun"/>
          <w:lang w:val="en-GB"/>
        </w:rPr>
        <w:t xml:space="preserve"> The investigation showed that the DRAMS which were exposed to Rambus’s claim accounted for over 90% of the overall DRAMS market. </w:t>
      </w:r>
      <w:r w:rsidRPr="00844C55">
        <w:rPr>
          <w:rFonts w:cs="Times New Roman"/>
          <w:szCs w:val="24"/>
          <w:lang w:val="en-GB" w:bidi="ar-SA"/>
        </w:rPr>
        <w:t xml:space="preserve">The </w:t>
      </w:r>
      <w:r w:rsidRPr="00844C55">
        <w:rPr>
          <w:rFonts w:eastAsia="SimSun"/>
          <w:lang w:val="en-GB"/>
        </w:rPr>
        <w:t>industry</w:t>
      </w:r>
      <w:r w:rsidRPr="00844C55">
        <w:rPr>
          <w:rFonts w:cs="Times New Roman"/>
          <w:szCs w:val="24"/>
          <w:lang w:val="en-GB" w:bidi="ar-SA"/>
        </w:rPr>
        <w:t xml:space="preserve"> was locked into the JEDEC</w:t>
      </w:r>
      <w:r w:rsidRPr="00844C55">
        <w:rPr>
          <w:rFonts w:eastAsia="SimSun" w:cs="Times New Roman"/>
          <w:szCs w:val="24"/>
          <w:lang w:val="en-GB" w:bidi="ar-SA"/>
        </w:rPr>
        <w:t xml:space="preserve"> </w:t>
      </w:r>
      <w:r w:rsidRPr="00844C55">
        <w:rPr>
          <w:rFonts w:cs="Times New Roman"/>
          <w:szCs w:val="24"/>
          <w:lang w:val="en-GB" w:bidi="ar-SA"/>
        </w:rPr>
        <w:t>DRAM standards</w:t>
      </w:r>
      <w:r w:rsidRPr="00844C55">
        <w:rPr>
          <w:rFonts w:eastAsia="SimSun" w:cs="Times New Roman"/>
          <w:szCs w:val="24"/>
          <w:lang w:val="en-GB" w:bidi="ar-SA"/>
        </w:rPr>
        <w:t xml:space="preserve"> and </w:t>
      </w:r>
      <w:r w:rsidRPr="00844C55">
        <w:rPr>
          <w:rFonts w:eastAsia="SimSun"/>
          <w:lang w:val="en-GB"/>
        </w:rPr>
        <w:t xml:space="preserve">Rambus held a dominant position in this market. As a member of the standard setting organisation in this case, JEDEC, Rambus was required to </w:t>
      </w:r>
      <w:r w:rsidRPr="00844C55">
        <w:rPr>
          <w:rFonts w:cs="Times New Roman"/>
          <w:szCs w:val="24"/>
          <w:lang w:val="en-GB" w:bidi="ar-SA"/>
        </w:rPr>
        <w:t>disclose any and all issued or pending patents of which they were aware and</w:t>
      </w:r>
      <w:r w:rsidRPr="00844C55">
        <w:rPr>
          <w:rFonts w:eastAsia="SimSun" w:cs="Times New Roman"/>
          <w:szCs w:val="24"/>
          <w:lang w:val="en-GB" w:bidi="ar-SA"/>
        </w:rPr>
        <w:t xml:space="preserve"> </w:t>
      </w:r>
      <w:r w:rsidRPr="00844C55">
        <w:rPr>
          <w:rFonts w:eastAsia="SimSun"/>
          <w:lang w:val="en-GB"/>
        </w:rPr>
        <w:t xml:space="preserve">which might be involved in the standard-setting work of JEDEC. The Commission stressed the importance of non-discriminatory, open and transparent procedures for an effective standard, and provisionally believed that Rambus have broken JEDEC policy and the underlying duty of good faith in the context of standard-setting. The Commission's preliminary view was that Rambus would not have been able to charge the royalty rates it did but for its "patent ambush". </w:t>
      </w:r>
    </w:p>
    <w:p w:rsidR="0096625E" w:rsidRPr="00844C55" w:rsidRDefault="0096625E" w:rsidP="0096625E">
      <w:pPr>
        <w:pStyle w:val="Heading2"/>
        <w:rPr>
          <w:rFonts w:eastAsia="SimSun"/>
          <w:lang w:val="en-GB"/>
        </w:rPr>
      </w:pPr>
      <w:r w:rsidRPr="00844C55">
        <w:rPr>
          <w:rFonts w:eastAsia="SimSun"/>
          <w:lang w:val="en-GB"/>
        </w:rPr>
        <w:lastRenderedPageBreak/>
        <w:t xml:space="preserve">Compulsory Licensing for Abusive Misconduct </w:t>
      </w:r>
    </w:p>
    <w:p w:rsidR="0096625E" w:rsidRPr="00844C55" w:rsidRDefault="0096625E" w:rsidP="0096625E">
      <w:pPr>
        <w:rPr>
          <w:rFonts w:eastAsia="SimSun"/>
          <w:lang w:val="en-GB"/>
        </w:rPr>
      </w:pPr>
      <w:r w:rsidRPr="00844C55">
        <w:rPr>
          <w:rFonts w:eastAsia="SimSun"/>
          <w:lang w:val="en-GB"/>
        </w:rPr>
        <w:t xml:space="preserve">Pursuant to Regulation 1/2003, the Commission is empowered to impose any remedy, structural and /or behaviour, to bring the antitrust infringement effectively to an end. </w:t>
      </w:r>
      <w:r w:rsidR="00B75BED">
        <w:rPr>
          <w:rFonts w:eastAsia="SimSun" w:hint="eastAsia"/>
          <w:lang w:val="en-GB"/>
        </w:rPr>
        <w:t>An</w:t>
      </w:r>
      <w:r w:rsidR="00B75BED" w:rsidRPr="00844C55">
        <w:rPr>
          <w:rFonts w:eastAsia="SimSun"/>
          <w:lang w:val="en-GB"/>
        </w:rPr>
        <w:t xml:space="preserve"> antitrust remedy often acts as a reverse process to the antitrust infringement, e.g. compulsory licensing for refusals to license, unbundling for bundling.  </w:t>
      </w:r>
      <w:r w:rsidRPr="00844C55">
        <w:rPr>
          <w:rFonts w:eastAsia="SimSun"/>
          <w:lang w:val="en-GB"/>
        </w:rPr>
        <w:t>Structural remedies do not have an equal position as behavioural remedies in EU antitrust practise insofar as s</w:t>
      </w:r>
      <w:r w:rsidRPr="00844C55">
        <w:rPr>
          <w:lang w:val="en-GB"/>
        </w:rPr>
        <w:t>tructural remedies can be adopted as a last resort only when there is no equally effective behavioural remedy available or where any equally effective behavioural remedy would be more burdensome than a structural remedy.</w:t>
      </w:r>
      <w:r w:rsidRPr="00844C55">
        <w:rPr>
          <w:rStyle w:val="FootnoteReference"/>
          <w:lang w:val="en-GB"/>
        </w:rPr>
        <w:footnoteReference w:id="49"/>
      </w:r>
      <w:r w:rsidRPr="00844C55">
        <w:rPr>
          <w:lang w:val="en-GB"/>
        </w:rPr>
        <w:t xml:space="preserve"> </w:t>
      </w:r>
    </w:p>
    <w:p w:rsidR="0096625E" w:rsidRPr="00844C55" w:rsidRDefault="0096625E" w:rsidP="0096625E">
      <w:pPr>
        <w:rPr>
          <w:rFonts w:eastAsia="SimSun"/>
          <w:lang w:val="en-GB"/>
        </w:rPr>
      </w:pPr>
      <w:r w:rsidRPr="00844C55">
        <w:rPr>
          <w:rFonts w:eastAsia="SimSun"/>
          <w:lang w:val="en-GB"/>
        </w:rPr>
        <w:t xml:space="preserve">In its 50 years of antitrust practice, the Commission only imposed or accepted compulsory licensing remedies to dissolve </w:t>
      </w:r>
      <w:r w:rsidR="00366BEC">
        <w:rPr>
          <w:rFonts w:eastAsia="SimSun" w:hint="eastAsia"/>
          <w:lang w:val="en-GB"/>
        </w:rPr>
        <w:t>IP related</w:t>
      </w:r>
      <w:r w:rsidR="00366BEC">
        <w:rPr>
          <w:rFonts w:eastAsia="SimSun"/>
          <w:lang w:val="en-GB"/>
        </w:rPr>
        <w:t xml:space="preserve"> antitrust concerns</w:t>
      </w:r>
      <w:r w:rsidRPr="00844C55">
        <w:rPr>
          <w:rFonts w:eastAsia="SimSun"/>
          <w:lang w:val="en-GB"/>
        </w:rPr>
        <w:t xml:space="preserve">. </w:t>
      </w:r>
    </w:p>
    <w:p w:rsidR="0096625E" w:rsidRPr="00844C55" w:rsidRDefault="0096625E" w:rsidP="0096625E">
      <w:pPr>
        <w:rPr>
          <w:rFonts w:eastAsia="SimSun"/>
          <w:lang w:val="en-GB"/>
        </w:rPr>
      </w:pPr>
      <w:r w:rsidRPr="00844C55">
        <w:rPr>
          <w:rFonts w:eastAsia="SimSun"/>
          <w:lang w:val="en-GB"/>
        </w:rPr>
        <w:t xml:space="preserve">In </w:t>
      </w:r>
      <w:r w:rsidRPr="00844C55">
        <w:rPr>
          <w:rFonts w:eastAsia="SimSun"/>
          <w:i/>
          <w:lang w:val="en-GB"/>
        </w:rPr>
        <w:t>Microsoft Interoperability</w:t>
      </w:r>
      <w:r w:rsidRPr="00844C55">
        <w:rPr>
          <w:rStyle w:val="FootnoteReference"/>
          <w:rFonts w:eastAsia="SimSun"/>
          <w:i/>
          <w:lang w:val="en-GB"/>
        </w:rPr>
        <w:footnoteReference w:id="50"/>
      </w:r>
      <w:r w:rsidRPr="00844C55">
        <w:rPr>
          <w:rFonts w:eastAsia="SimSun"/>
          <w:lang w:val="en-GB"/>
        </w:rPr>
        <w:t xml:space="preserve">, Microsoft was ordered to disclose complete and accurate specifications for the protocols used by Windows work group servers which it had refused to supply, in order to ensure that competitors can develop compatible products and hence become viable rivals. The disclosure applies not only to the complainant Sun, but </w:t>
      </w:r>
      <w:r w:rsidR="00B75BED">
        <w:rPr>
          <w:rFonts w:eastAsia="SimSun" w:hint="eastAsia"/>
          <w:lang w:val="en-GB"/>
        </w:rPr>
        <w:t xml:space="preserve">also </w:t>
      </w:r>
      <w:r w:rsidRPr="00844C55">
        <w:rPr>
          <w:rFonts w:eastAsia="SimSun"/>
          <w:lang w:val="en-GB"/>
        </w:rPr>
        <w:t xml:space="preserve">to any undertaking that has an interest in developing products that constitute a competitive constraint to Microsoft in the work group server operating system market. </w:t>
      </w:r>
      <w:r w:rsidRPr="00844C55">
        <w:rPr>
          <w:rFonts w:ascii="TimesNewRoman" w:hAnsi="TimesNewRoman" w:cs="TimesNewRoman"/>
          <w:szCs w:val="24"/>
          <w:lang w:val="en-GB" w:bidi="ar-SA"/>
        </w:rPr>
        <w:t>The order to supply is not limited to disclosing</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specifications but also encompasses authorising the implementation of such</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specifications in work group server operating system products.</w:t>
      </w:r>
      <w:r w:rsidRPr="00844C55">
        <w:rPr>
          <w:rFonts w:eastAsia="SimSun"/>
          <w:lang w:val="en-GB"/>
        </w:rPr>
        <w:t xml:space="preserve"> To the extent that the Decision might require Microsoft to refrain from fully enforcing any of its </w:t>
      </w:r>
      <w:r w:rsidR="00B75BED">
        <w:rPr>
          <w:rFonts w:eastAsia="SimSun"/>
          <w:lang w:val="en-GB"/>
        </w:rPr>
        <w:t>IPR</w:t>
      </w:r>
      <w:r w:rsidRPr="00844C55">
        <w:rPr>
          <w:rFonts w:eastAsia="SimSun"/>
          <w:lang w:val="en-GB"/>
        </w:rPr>
        <w:t>s, this would be justified by the need to put an end to the abuse</w:t>
      </w:r>
      <w:r w:rsidR="00B75BED">
        <w:rPr>
          <w:rFonts w:eastAsia="SimSun" w:hint="eastAsia"/>
          <w:lang w:val="en-GB"/>
        </w:rPr>
        <w:t xml:space="preserve"> of dominant position</w:t>
      </w:r>
      <w:r w:rsidRPr="00844C55">
        <w:rPr>
          <w:rFonts w:eastAsia="SimSun"/>
          <w:lang w:val="en-GB"/>
        </w:rPr>
        <w:t>. Moreover, these disclosures should be made under reasonable and non-discriminatory terms. Microsoft may require a reasonable and non-discriminatory remuneration for the supply, but may not restrict the</w:t>
      </w:r>
      <w:r w:rsidRPr="00844C55">
        <w:rPr>
          <w:rFonts w:ascii="TimesNewRoman" w:hAnsi="TimesNewRoman" w:cs="TimesNewRoman"/>
          <w:szCs w:val="24"/>
          <w:lang w:val="en-GB" w:bidi="ar-SA"/>
        </w:rPr>
        <w:t xml:space="preserve"> type of products in which</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the specifications may be implemented</w:t>
      </w:r>
      <w:r w:rsidRPr="00844C55">
        <w:rPr>
          <w:rFonts w:eastAsia="SimSun"/>
          <w:lang w:val="en-GB"/>
        </w:rPr>
        <w:t xml:space="preserve">. </w:t>
      </w:r>
      <w:r w:rsidRPr="00844C55">
        <w:rPr>
          <w:rFonts w:ascii="TimesNewRoman" w:eastAsia="SimSun" w:hAnsi="TimesNewRoman" w:cs="TimesNewRoman"/>
          <w:szCs w:val="24"/>
          <w:lang w:val="en-GB" w:bidi="ar-SA"/>
        </w:rPr>
        <w:t>T</w:t>
      </w:r>
      <w:r w:rsidRPr="00844C55">
        <w:rPr>
          <w:rFonts w:ascii="TimesNewRoman" w:hAnsi="TimesNewRoman" w:cs="TimesNewRoman"/>
          <w:szCs w:val="24"/>
          <w:lang w:val="en-GB" w:bidi="ar-SA"/>
        </w:rPr>
        <w:t>he terms imposed by Microsoft</w:t>
      </w:r>
      <w:r w:rsidRPr="00844C55">
        <w:rPr>
          <w:rFonts w:ascii="TimesNewRoman" w:eastAsia="SimSun" w:hAnsi="TimesNewRoman" w:cs="TimesNewRoman"/>
          <w:szCs w:val="24"/>
          <w:lang w:val="en-GB" w:bidi="ar-SA"/>
        </w:rPr>
        <w:t xml:space="preserve"> shall </w:t>
      </w:r>
      <w:r w:rsidRPr="00844C55">
        <w:rPr>
          <w:rFonts w:ascii="TimesNewRoman" w:hAnsi="TimesNewRoman" w:cs="TimesNewRoman"/>
          <w:szCs w:val="24"/>
          <w:lang w:val="en-GB" w:bidi="ar-SA"/>
        </w:rPr>
        <w:t>be sufficiently</w:t>
      </w:r>
      <w:r w:rsidRPr="00844C55">
        <w:rPr>
          <w:rFonts w:ascii="TimesNewRoman" w:eastAsia="SimSun" w:hAnsi="TimesNewRoman" w:cs="TimesNewRoman"/>
          <w:szCs w:val="24"/>
          <w:lang w:val="en-GB" w:bidi="ar-SA"/>
        </w:rPr>
        <w:t xml:space="preserve"> p</w:t>
      </w:r>
      <w:r w:rsidRPr="00844C55">
        <w:rPr>
          <w:rFonts w:ascii="TimesNewRoman" w:hAnsi="TimesNewRoman" w:cs="TimesNewRoman"/>
          <w:szCs w:val="24"/>
          <w:lang w:val="en-GB" w:bidi="ar-SA"/>
        </w:rPr>
        <w:t>redictable</w:t>
      </w:r>
      <w:r w:rsidRPr="00844C55">
        <w:rPr>
          <w:rFonts w:ascii="TimesNewRoman" w:eastAsia="SimSun" w:hAnsi="TimesNewRoman" w:cs="TimesNewRoman"/>
          <w:szCs w:val="24"/>
          <w:lang w:val="en-GB" w:bidi="ar-SA"/>
        </w:rPr>
        <w:t xml:space="preserve"> and </w:t>
      </w:r>
      <w:r w:rsidRPr="00844C55">
        <w:rPr>
          <w:rFonts w:ascii="TimesNewRoman" w:hAnsi="TimesNewRoman" w:cs="TimesNewRoman"/>
          <w:szCs w:val="24"/>
          <w:lang w:val="en-GB" w:bidi="ar-SA"/>
        </w:rPr>
        <w:t>allows potential beneficiaries to</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evaluate the business value to them of implementing the disclosed</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specifications in their products</w:t>
      </w:r>
      <w:r w:rsidRPr="00844C55">
        <w:rPr>
          <w:rFonts w:ascii="TimesNewRoman" w:eastAsia="SimSun" w:hAnsi="TimesNewRoman" w:cs="TimesNewRoman"/>
          <w:szCs w:val="24"/>
          <w:lang w:val="en-GB" w:bidi="ar-SA"/>
        </w:rPr>
        <w:t xml:space="preserve">. </w:t>
      </w:r>
    </w:p>
    <w:p w:rsidR="00D85D19" w:rsidRPr="00844C55" w:rsidRDefault="001F77DE" w:rsidP="00B809F2">
      <w:pPr>
        <w:pStyle w:val="Heading1"/>
        <w:rPr>
          <w:rFonts w:eastAsia="SimSun"/>
          <w:lang w:val="en-GB"/>
        </w:rPr>
      </w:pPr>
      <w:r w:rsidRPr="00844C55">
        <w:rPr>
          <w:rFonts w:eastAsia="SimSun"/>
          <w:lang w:val="en-GB"/>
        </w:rPr>
        <w:lastRenderedPageBreak/>
        <w:t>Compulsory Licensing</w:t>
      </w:r>
      <w:r w:rsidRPr="00844C55">
        <w:rPr>
          <w:lang w:val="en-GB"/>
        </w:rPr>
        <w:t xml:space="preserve"> </w:t>
      </w:r>
      <w:r w:rsidRPr="00844C55">
        <w:rPr>
          <w:rFonts w:eastAsia="SimSun"/>
          <w:lang w:val="en-GB"/>
        </w:rPr>
        <w:t xml:space="preserve">in </w:t>
      </w:r>
      <w:r w:rsidRPr="00844C55">
        <w:rPr>
          <w:lang w:val="en-GB"/>
        </w:rPr>
        <w:t>EU Merger Control</w:t>
      </w:r>
    </w:p>
    <w:p w:rsidR="00FE0508" w:rsidRPr="00844C55" w:rsidRDefault="0095614B" w:rsidP="00FE0508">
      <w:pPr>
        <w:pStyle w:val="Heading2"/>
        <w:rPr>
          <w:rFonts w:eastAsia="SimSun"/>
          <w:lang w:val="en-GB"/>
        </w:rPr>
      </w:pPr>
      <w:r>
        <w:rPr>
          <w:rFonts w:eastAsia="SimSun" w:hint="eastAsia"/>
          <w:lang w:val="en-GB"/>
        </w:rPr>
        <w:t xml:space="preserve">IP Related </w:t>
      </w:r>
      <w:r>
        <w:rPr>
          <w:rFonts w:eastAsia="SimSun"/>
          <w:lang w:val="en-GB"/>
        </w:rPr>
        <w:t>Competition Conce</w:t>
      </w:r>
      <w:r>
        <w:rPr>
          <w:rFonts w:eastAsia="SimSun" w:hint="eastAsia"/>
          <w:lang w:val="en-GB"/>
        </w:rPr>
        <w:t>rns</w:t>
      </w:r>
    </w:p>
    <w:p w:rsidR="00181E24" w:rsidRPr="00844C55" w:rsidRDefault="003D4124" w:rsidP="000A3694">
      <w:pPr>
        <w:rPr>
          <w:lang w:val="en-GB"/>
        </w:rPr>
      </w:pPr>
      <w:r w:rsidRPr="00844C55">
        <w:rPr>
          <w:rFonts w:eastAsia="SimSun"/>
          <w:lang w:val="en-GB" w:bidi="ar-SA"/>
        </w:rPr>
        <w:t>Pursuant to the Merger Regulation, a merger is not compatible with the common market if it would significantly impede effective competition, in particular as a result of the creation or strengthening of a dominant position.</w:t>
      </w:r>
      <w:r w:rsidRPr="00844C55">
        <w:rPr>
          <w:rStyle w:val="FootnoteReference"/>
          <w:rFonts w:eastAsia="SimSun"/>
          <w:lang w:val="en-GB" w:bidi="ar-SA"/>
        </w:rPr>
        <w:footnoteReference w:id="51"/>
      </w:r>
      <w:r w:rsidRPr="00844C55">
        <w:rPr>
          <w:rFonts w:eastAsia="SimSun"/>
          <w:lang w:val="en-GB" w:bidi="ar-SA"/>
        </w:rPr>
        <w:t xml:space="preserve"> </w:t>
      </w:r>
      <w:r w:rsidR="00B64568" w:rsidRPr="00844C55">
        <w:rPr>
          <w:lang w:val="en-GB"/>
        </w:rPr>
        <w:t xml:space="preserve">In the context of merger control, </w:t>
      </w:r>
      <w:r w:rsidR="00606FCB">
        <w:rPr>
          <w:rFonts w:eastAsia="SimSun" w:hint="eastAsia"/>
          <w:lang w:val="en-GB"/>
        </w:rPr>
        <w:t xml:space="preserve">IPRs </w:t>
      </w:r>
      <w:r w:rsidR="003D4C3D">
        <w:rPr>
          <w:rFonts w:eastAsia="SimSun" w:hint="eastAsia"/>
          <w:lang w:val="en-GB"/>
        </w:rPr>
        <w:t xml:space="preserve">could be an issue of </w:t>
      </w:r>
      <w:r w:rsidR="003E3D57">
        <w:rPr>
          <w:rFonts w:eastAsia="SimSun"/>
          <w:lang w:val="en-GB"/>
        </w:rPr>
        <w:t>effective</w:t>
      </w:r>
      <w:r w:rsidR="003E3D57">
        <w:rPr>
          <w:rFonts w:eastAsia="SimSun" w:hint="eastAsia"/>
          <w:lang w:val="en-GB"/>
        </w:rPr>
        <w:t xml:space="preserve"> </w:t>
      </w:r>
      <w:r w:rsidR="003D4C3D">
        <w:rPr>
          <w:rFonts w:eastAsia="SimSun" w:hint="eastAsia"/>
          <w:lang w:val="en-GB"/>
        </w:rPr>
        <w:t xml:space="preserve">competition. </w:t>
      </w:r>
      <w:r w:rsidR="006D447F">
        <w:rPr>
          <w:rFonts w:eastAsia="SimSun" w:hint="eastAsia"/>
          <w:lang w:val="en-GB"/>
        </w:rPr>
        <w:t>A</w:t>
      </w:r>
      <w:r w:rsidR="005B2FAD" w:rsidRPr="00844C55">
        <w:rPr>
          <w:lang w:val="en-GB"/>
        </w:rPr>
        <w:t xml:space="preserve">n </w:t>
      </w:r>
      <w:r w:rsidR="00606FCB">
        <w:rPr>
          <w:lang w:val="en-GB"/>
        </w:rPr>
        <w:t xml:space="preserve">IPR </w:t>
      </w:r>
      <w:r w:rsidR="005B2FAD" w:rsidRPr="00844C55">
        <w:rPr>
          <w:lang w:val="en-GB"/>
        </w:rPr>
        <w:t xml:space="preserve">will not in itself leads to dominance if the </w:t>
      </w:r>
      <w:r w:rsidR="00606FCB">
        <w:rPr>
          <w:lang w:val="en-GB"/>
        </w:rPr>
        <w:t xml:space="preserve">IPR </w:t>
      </w:r>
      <w:r w:rsidR="000A3694" w:rsidRPr="00844C55">
        <w:rPr>
          <w:lang w:val="en-GB"/>
        </w:rPr>
        <w:t xml:space="preserve">product is a part of a wide market, but if the concerned market only consist of a very small number of </w:t>
      </w:r>
      <w:r w:rsidR="00606FCB">
        <w:rPr>
          <w:lang w:val="en-GB"/>
        </w:rPr>
        <w:t xml:space="preserve">IPR </w:t>
      </w:r>
      <w:r w:rsidR="000A3694" w:rsidRPr="00844C55">
        <w:rPr>
          <w:lang w:val="en-GB"/>
        </w:rPr>
        <w:t>products, t</w:t>
      </w:r>
      <w:r w:rsidR="00BF762F" w:rsidRPr="00844C55">
        <w:rPr>
          <w:lang w:val="en-GB"/>
        </w:rPr>
        <w:t xml:space="preserve">he combination of two or more critical </w:t>
      </w:r>
      <w:r w:rsidR="00606FCB">
        <w:rPr>
          <w:lang w:val="en-GB"/>
        </w:rPr>
        <w:t xml:space="preserve">IPRs </w:t>
      </w:r>
      <w:r w:rsidR="00BF762F" w:rsidRPr="00844C55">
        <w:rPr>
          <w:lang w:val="en-GB"/>
        </w:rPr>
        <w:t xml:space="preserve">may enable the merged entity to exercise a greater degree of market power for a considerable amount of time. </w:t>
      </w:r>
      <w:r w:rsidR="00C2697D" w:rsidRPr="00844C55">
        <w:rPr>
          <w:lang w:val="en-GB"/>
        </w:rPr>
        <w:t>For instance, a merged entity may have the ability to hind rivals</w:t>
      </w:r>
      <w:r w:rsidR="0070355F" w:rsidRPr="00844C55">
        <w:rPr>
          <w:rFonts w:eastAsia="SimSun"/>
          <w:lang w:val="en-GB"/>
        </w:rPr>
        <w:t>’</w:t>
      </w:r>
      <w:r w:rsidR="00C2697D" w:rsidRPr="00844C55">
        <w:rPr>
          <w:lang w:val="en-GB"/>
        </w:rPr>
        <w:t xml:space="preserve"> expansion because it controls some necessary </w:t>
      </w:r>
      <w:r w:rsidR="001E50BE" w:rsidRPr="00844C55">
        <w:rPr>
          <w:lang w:val="en-GB"/>
        </w:rPr>
        <w:t>IP rights</w:t>
      </w:r>
      <w:r w:rsidR="00C2697D" w:rsidRPr="00844C55">
        <w:rPr>
          <w:lang w:val="en-GB"/>
        </w:rPr>
        <w:t>.</w:t>
      </w:r>
      <w:r w:rsidR="00C2697D" w:rsidRPr="00844C55">
        <w:rPr>
          <w:rStyle w:val="FootnoteReference"/>
          <w:lang w:val="en-GB"/>
        </w:rPr>
        <w:footnoteReference w:id="52"/>
      </w:r>
      <w:r w:rsidR="00C2697D" w:rsidRPr="00844C55">
        <w:rPr>
          <w:lang w:val="en-GB"/>
        </w:rPr>
        <w:t xml:space="preserve"> </w:t>
      </w:r>
    </w:p>
    <w:p w:rsidR="00C97649" w:rsidRPr="00844C55" w:rsidRDefault="000B016D" w:rsidP="00C97649">
      <w:pPr>
        <w:rPr>
          <w:rFonts w:eastAsia="SimSun"/>
          <w:lang w:val="en-GB"/>
        </w:rPr>
      </w:pPr>
      <w:r w:rsidRPr="00844C55">
        <w:rPr>
          <w:lang w:val="en-GB"/>
        </w:rPr>
        <w:t xml:space="preserve">When a </w:t>
      </w:r>
      <w:r w:rsidR="00333989" w:rsidRPr="00844C55">
        <w:rPr>
          <w:rFonts w:eastAsia="SimSun"/>
          <w:lang w:val="en-GB"/>
        </w:rPr>
        <w:t xml:space="preserve">horizontal </w:t>
      </w:r>
      <w:r w:rsidRPr="00844C55">
        <w:rPr>
          <w:lang w:val="en-GB"/>
        </w:rPr>
        <w:t xml:space="preserve">merger involves the acquisition of </w:t>
      </w:r>
      <w:r w:rsidR="00B75BED">
        <w:rPr>
          <w:lang w:val="en-GB"/>
        </w:rPr>
        <w:t>IP</w:t>
      </w:r>
      <w:r w:rsidR="00B75BED">
        <w:rPr>
          <w:rFonts w:eastAsia="SimSun" w:hint="eastAsia"/>
          <w:lang w:val="en-GB"/>
        </w:rPr>
        <w:t>R</w:t>
      </w:r>
      <w:r w:rsidR="001E50BE" w:rsidRPr="00844C55">
        <w:rPr>
          <w:lang w:val="en-GB"/>
        </w:rPr>
        <w:t>s</w:t>
      </w:r>
      <w:r w:rsidRPr="00844C55">
        <w:rPr>
          <w:lang w:val="en-GB"/>
        </w:rPr>
        <w:t xml:space="preserve">, </w:t>
      </w:r>
      <w:r w:rsidR="00F97F03" w:rsidRPr="00844C55">
        <w:rPr>
          <w:lang w:val="en-GB"/>
        </w:rPr>
        <w:t xml:space="preserve">it may induce competition concern if the </w:t>
      </w:r>
      <w:r w:rsidR="00606FCB">
        <w:rPr>
          <w:lang w:val="en-GB"/>
        </w:rPr>
        <w:t xml:space="preserve">IPRs </w:t>
      </w:r>
      <w:r w:rsidR="00CC7746" w:rsidRPr="00844C55">
        <w:rPr>
          <w:lang w:val="en-GB"/>
        </w:rPr>
        <w:t>impose</w:t>
      </w:r>
      <w:r w:rsidR="00383D16" w:rsidRPr="00844C55">
        <w:rPr>
          <w:lang w:val="en-GB"/>
        </w:rPr>
        <w:t xml:space="preserve"> </w:t>
      </w:r>
      <w:r w:rsidR="002A1CCC" w:rsidRPr="00844C55">
        <w:rPr>
          <w:rFonts w:eastAsia="SimSun"/>
          <w:lang w:val="en-GB"/>
        </w:rPr>
        <w:t xml:space="preserve">entry </w:t>
      </w:r>
      <w:r w:rsidR="002A1CCC" w:rsidRPr="00844C55">
        <w:rPr>
          <w:lang w:val="en-GB"/>
        </w:rPr>
        <w:t>barriers</w:t>
      </w:r>
      <w:r w:rsidR="002E07F8" w:rsidRPr="00844C55">
        <w:rPr>
          <w:lang w:val="en-GB"/>
        </w:rPr>
        <w:t>.</w:t>
      </w:r>
      <w:r w:rsidR="00C231E2" w:rsidRPr="00844C55">
        <w:rPr>
          <w:lang w:val="en-GB"/>
        </w:rPr>
        <w:t xml:space="preserve"> </w:t>
      </w:r>
      <w:r w:rsidR="00384ECB" w:rsidRPr="00844C55">
        <w:rPr>
          <w:lang w:val="en-GB"/>
        </w:rPr>
        <w:t>The EU Horizontal Merger Notice addresses IP</w:t>
      </w:r>
      <w:r w:rsidR="00B75BED">
        <w:rPr>
          <w:rFonts w:eastAsia="SimSun" w:hint="eastAsia"/>
          <w:lang w:val="en-GB"/>
        </w:rPr>
        <w:t>Rs</w:t>
      </w:r>
      <w:r w:rsidR="00384ECB" w:rsidRPr="00844C55">
        <w:rPr>
          <w:lang w:val="en-GB"/>
        </w:rPr>
        <w:t xml:space="preserve"> as </w:t>
      </w:r>
      <w:r w:rsidR="00E828DF" w:rsidRPr="00844C55">
        <w:rPr>
          <w:rFonts w:eastAsia="SimSun"/>
          <w:lang w:val="en-GB"/>
        </w:rPr>
        <w:t xml:space="preserve">a </w:t>
      </w:r>
      <w:r w:rsidR="00384ECB" w:rsidRPr="00844C55">
        <w:rPr>
          <w:lang w:val="en-GB"/>
        </w:rPr>
        <w:t xml:space="preserve">competition concern only in two places, </w:t>
      </w:r>
      <w:r w:rsidR="001D1AFB" w:rsidRPr="00844C55">
        <w:rPr>
          <w:lang w:val="en-GB"/>
        </w:rPr>
        <w:t>paragraph</w:t>
      </w:r>
      <w:r w:rsidR="001D1AFB" w:rsidRPr="00844C55">
        <w:rPr>
          <w:rFonts w:eastAsia="SimSun"/>
          <w:lang w:val="en-GB"/>
        </w:rPr>
        <w:t xml:space="preserve"> </w:t>
      </w:r>
      <w:r w:rsidR="00384ECB" w:rsidRPr="00844C55">
        <w:rPr>
          <w:lang w:val="en-GB"/>
        </w:rPr>
        <w:t xml:space="preserve">36 and 71.B. </w:t>
      </w:r>
      <w:r w:rsidR="00BF0B8C" w:rsidRPr="00844C55">
        <w:rPr>
          <w:rFonts w:eastAsia="SimSun"/>
          <w:lang w:val="en-GB"/>
        </w:rPr>
        <w:t>B</w:t>
      </w:r>
      <w:r w:rsidR="00384ECB" w:rsidRPr="00844C55">
        <w:rPr>
          <w:lang w:val="en-GB"/>
        </w:rPr>
        <w:t xml:space="preserve">oth </w:t>
      </w:r>
      <w:r w:rsidR="00BF0B8C" w:rsidRPr="00844C55">
        <w:rPr>
          <w:rFonts w:eastAsia="SimSun"/>
          <w:lang w:val="en-GB"/>
        </w:rPr>
        <w:t xml:space="preserve">of the provisions </w:t>
      </w:r>
      <w:r w:rsidR="006D447F">
        <w:rPr>
          <w:rFonts w:eastAsia="SimSun" w:hint="eastAsia"/>
          <w:lang w:val="en-GB"/>
        </w:rPr>
        <w:t>refer</w:t>
      </w:r>
      <w:r w:rsidR="00384ECB" w:rsidRPr="00844C55">
        <w:rPr>
          <w:lang w:val="en-GB"/>
        </w:rPr>
        <w:t xml:space="preserve"> IP</w:t>
      </w:r>
      <w:r w:rsidR="00B75BED">
        <w:rPr>
          <w:rFonts w:eastAsia="SimSun" w:hint="eastAsia"/>
          <w:lang w:val="en-GB"/>
        </w:rPr>
        <w:t>Rs</w:t>
      </w:r>
      <w:r w:rsidR="00384ECB" w:rsidRPr="00844C55">
        <w:rPr>
          <w:lang w:val="en-GB"/>
        </w:rPr>
        <w:t xml:space="preserve"> </w:t>
      </w:r>
      <w:r w:rsidR="006D447F">
        <w:rPr>
          <w:rFonts w:eastAsia="SimSun" w:hint="eastAsia"/>
          <w:lang w:val="en-GB"/>
        </w:rPr>
        <w:t>as</w:t>
      </w:r>
      <w:r w:rsidR="00BF0B8C" w:rsidRPr="00844C55">
        <w:rPr>
          <w:rFonts w:eastAsia="SimSun"/>
          <w:lang w:val="en-GB"/>
        </w:rPr>
        <w:t xml:space="preserve"> a </w:t>
      </w:r>
      <w:r w:rsidR="00BF0B8C" w:rsidRPr="00844C55">
        <w:rPr>
          <w:lang w:val="en-GB"/>
        </w:rPr>
        <w:t>barrier</w:t>
      </w:r>
      <w:r w:rsidR="00BF0B8C" w:rsidRPr="00844C55">
        <w:rPr>
          <w:rFonts w:eastAsia="SimSun"/>
          <w:lang w:val="en-GB"/>
        </w:rPr>
        <w:t xml:space="preserve"> of entry </w:t>
      </w:r>
      <w:r w:rsidR="00384ECB" w:rsidRPr="00844C55">
        <w:rPr>
          <w:lang w:val="en-GB"/>
        </w:rPr>
        <w:t xml:space="preserve">which hinders existing competitors or potential entrants from contesting the merging parties’ market power. </w:t>
      </w:r>
      <w:r w:rsidR="00BF0B8C" w:rsidRPr="00844C55">
        <w:rPr>
          <w:rFonts w:eastAsia="SimSun" w:cs="Times New Roman"/>
          <w:lang w:val="en-GB"/>
        </w:rPr>
        <w:t>An entry barrier refers to “t</w:t>
      </w:r>
      <w:r w:rsidR="00BF0B8C" w:rsidRPr="00844C55">
        <w:rPr>
          <w:lang w:val="en-GB"/>
        </w:rPr>
        <w:t>he advantage of established sellers in an industry over potential entrant sellers, these advantages being reflected in the extent to which established sellers can persistently raise their prices above a competitive level without attracting new firms to enter the industry</w:t>
      </w:r>
      <w:r w:rsidR="00BF0B8C" w:rsidRPr="00844C55">
        <w:rPr>
          <w:rFonts w:eastAsia="SimSun"/>
          <w:lang w:val="en-GB"/>
        </w:rPr>
        <w:t>”</w:t>
      </w:r>
      <w:r w:rsidR="00BF0B8C" w:rsidRPr="00844C55">
        <w:rPr>
          <w:lang w:val="en-GB"/>
        </w:rPr>
        <w:t>.</w:t>
      </w:r>
      <w:r w:rsidR="00BF0B8C" w:rsidRPr="00844C55">
        <w:rPr>
          <w:rStyle w:val="FootnoteReference"/>
          <w:lang w:val="en-GB"/>
        </w:rPr>
        <w:footnoteReference w:id="53"/>
      </w:r>
      <w:r w:rsidR="00BF0B8C" w:rsidRPr="00844C55">
        <w:rPr>
          <w:lang w:val="en-GB"/>
        </w:rPr>
        <w:t xml:space="preserve"> </w:t>
      </w:r>
      <w:r w:rsidR="00E828DF" w:rsidRPr="00844C55">
        <w:rPr>
          <w:rFonts w:eastAsia="SimSun"/>
          <w:lang w:val="en-GB"/>
        </w:rPr>
        <w:t>E</w:t>
      </w:r>
      <w:r w:rsidR="00C477BF" w:rsidRPr="00844C55">
        <w:rPr>
          <w:rFonts w:eastAsia="SimSun" w:cs="Times New Roman"/>
          <w:lang w:val="en-GB"/>
        </w:rPr>
        <w:t>ntry barriers are essential t</w:t>
      </w:r>
      <w:r w:rsidR="00633E8C" w:rsidRPr="00844C55">
        <w:rPr>
          <w:rFonts w:eastAsia="SimSun" w:cs="Times New Roman"/>
          <w:lang w:val="en-GB"/>
        </w:rPr>
        <w:t>o the exercise of market power as e</w:t>
      </w:r>
      <w:r w:rsidR="000009A6" w:rsidRPr="00844C55">
        <w:rPr>
          <w:rFonts w:eastAsia="SimSun" w:cs="Times New Roman"/>
          <w:lang w:val="en-GB"/>
        </w:rPr>
        <w:t>ffective competition cannot be preserved in a concentrated market with high entry barriers</w:t>
      </w:r>
      <w:r w:rsidR="00BA3EB0" w:rsidRPr="00844C55">
        <w:rPr>
          <w:rFonts w:eastAsia="SimSun" w:cs="Times New Roman"/>
          <w:lang w:val="en-GB"/>
        </w:rPr>
        <w:t xml:space="preserve">. </w:t>
      </w:r>
      <w:r w:rsidR="00105B54" w:rsidRPr="00844C55">
        <w:rPr>
          <w:rFonts w:eastAsia="SimSun"/>
          <w:lang w:val="en-GB"/>
        </w:rPr>
        <w:t>In absence of entry barriers, abnormal high profits would</w:t>
      </w:r>
      <w:r w:rsidR="00105B54" w:rsidRPr="00844C55">
        <w:rPr>
          <w:lang w:val="en-GB"/>
        </w:rPr>
        <w:t xml:space="preserve"> disappear </w:t>
      </w:r>
      <w:r w:rsidR="00105B54" w:rsidRPr="00844C55">
        <w:rPr>
          <w:rFonts w:eastAsia="SimSun"/>
          <w:lang w:val="en-GB"/>
        </w:rPr>
        <w:t>with the entry of</w:t>
      </w:r>
      <w:r w:rsidR="00105B54" w:rsidRPr="00844C55">
        <w:rPr>
          <w:lang w:val="en-GB"/>
        </w:rPr>
        <w:t xml:space="preserve"> new firms </w:t>
      </w:r>
      <w:r w:rsidR="00105B54" w:rsidRPr="00844C55">
        <w:rPr>
          <w:rFonts w:eastAsia="SimSun"/>
          <w:lang w:val="en-GB"/>
        </w:rPr>
        <w:t>or the expansion of the existing rivals</w:t>
      </w:r>
      <w:r w:rsidR="00105B54" w:rsidRPr="00844C55">
        <w:rPr>
          <w:lang w:val="en-GB"/>
        </w:rPr>
        <w:t xml:space="preserve"> in a </w:t>
      </w:r>
      <w:r w:rsidR="00105B54" w:rsidRPr="00844C55">
        <w:rPr>
          <w:rFonts w:eastAsia="SimSun"/>
          <w:lang w:val="en-GB"/>
        </w:rPr>
        <w:t>timely and effective manner</w:t>
      </w:r>
      <w:r w:rsidR="00105B54" w:rsidRPr="00844C55">
        <w:rPr>
          <w:lang w:val="en-GB"/>
        </w:rPr>
        <w:t>.</w:t>
      </w:r>
      <w:r w:rsidR="00105B54" w:rsidRPr="00844C55">
        <w:rPr>
          <w:rFonts w:eastAsia="SimSun"/>
          <w:lang w:val="en-GB"/>
        </w:rPr>
        <w:t xml:space="preserve"> However, entry barriers, if taken separately, are not a decisive factor for determining horizontal effects.</w:t>
      </w:r>
      <w:r w:rsidR="00105B54" w:rsidRPr="00844C55">
        <w:rPr>
          <w:rFonts w:eastAsia="SimSun"/>
          <w:vertAlign w:val="superscript"/>
          <w:lang w:val="en-GB"/>
        </w:rPr>
        <w:footnoteReference w:id="54"/>
      </w:r>
      <w:r w:rsidR="00105B54" w:rsidRPr="00844C55">
        <w:rPr>
          <w:rFonts w:eastAsia="SimSun"/>
          <w:vertAlign w:val="superscript"/>
          <w:lang w:val="en-GB"/>
        </w:rPr>
        <w:t xml:space="preserve"> </w:t>
      </w:r>
      <w:r w:rsidR="00105B54" w:rsidRPr="00844C55">
        <w:rPr>
          <w:rFonts w:eastAsia="SimSun"/>
          <w:lang w:val="en-GB"/>
        </w:rPr>
        <w:t xml:space="preserve"> </w:t>
      </w:r>
      <w:r w:rsidR="00C97649" w:rsidRPr="00844C55">
        <w:rPr>
          <w:rFonts w:eastAsia="SimSun"/>
          <w:lang w:val="en-GB"/>
        </w:rPr>
        <w:t>The competition harm of an entry barrier is always in association with high market concentration, insofar as entry barriers matter only when the competition in a market is not sufficient enough to maintain market price at competitive level</w:t>
      </w:r>
      <w:r w:rsidR="00105B54" w:rsidRPr="00844C55">
        <w:rPr>
          <w:rFonts w:eastAsia="SimSun"/>
          <w:lang w:val="en-GB"/>
        </w:rPr>
        <w:t xml:space="preserve">. </w:t>
      </w:r>
      <w:r w:rsidR="00C97649" w:rsidRPr="00844C55">
        <w:rPr>
          <w:rFonts w:eastAsia="SimSun"/>
          <w:lang w:val="en-GB"/>
        </w:rPr>
        <w:t xml:space="preserve">The Commission assesses possible anticompetitive effects of entry barriers </w:t>
      </w:r>
      <w:r w:rsidR="00C97649" w:rsidRPr="00844C55">
        <w:rPr>
          <w:rFonts w:eastAsia="SimSun"/>
          <w:lang w:val="en-GB"/>
        </w:rPr>
        <w:lastRenderedPageBreak/>
        <w:t xml:space="preserve">only when a merger will substantially increase concentration to the point where competition concerns may arouse. </w:t>
      </w:r>
    </w:p>
    <w:p w:rsidR="002E07F8" w:rsidRPr="00844C55" w:rsidRDefault="008D3DF2" w:rsidP="003003AE">
      <w:pPr>
        <w:rPr>
          <w:rFonts w:eastAsia="SimSun" w:cs="Times New Roman"/>
          <w:lang w:val="en-GB"/>
        </w:rPr>
      </w:pPr>
      <w:r w:rsidRPr="00844C55">
        <w:rPr>
          <w:rFonts w:eastAsia="SimSun"/>
          <w:lang w:val="en-GB"/>
        </w:rPr>
        <w:t>Entry barriers</w:t>
      </w:r>
      <w:r w:rsidR="00633E8C" w:rsidRPr="00844C55">
        <w:rPr>
          <w:rFonts w:eastAsia="SimSun"/>
          <w:lang w:val="en-GB"/>
        </w:rPr>
        <w:t xml:space="preserve"> may take a variety of forms and</w:t>
      </w:r>
      <w:r w:rsidRPr="00844C55">
        <w:rPr>
          <w:rFonts w:eastAsia="SimSun"/>
          <w:lang w:val="en-GB"/>
        </w:rPr>
        <w:t xml:space="preserve"> </w:t>
      </w:r>
      <w:r w:rsidR="00633E8C" w:rsidRPr="00844C55">
        <w:rPr>
          <w:rFonts w:eastAsia="SimSun"/>
          <w:lang w:val="en-GB"/>
        </w:rPr>
        <w:t>t</w:t>
      </w:r>
      <w:r w:rsidRPr="00844C55">
        <w:rPr>
          <w:rFonts w:eastAsia="SimSun"/>
          <w:lang w:val="en-GB"/>
        </w:rPr>
        <w:t xml:space="preserve">he access to </w:t>
      </w:r>
      <w:r w:rsidR="00606FCB">
        <w:rPr>
          <w:rFonts w:eastAsia="SimSun"/>
          <w:lang w:val="en-GB"/>
        </w:rPr>
        <w:t xml:space="preserve">IPRs </w:t>
      </w:r>
      <w:r w:rsidR="00633E8C" w:rsidRPr="00844C55">
        <w:rPr>
          <w:rFonts w:eastAsia="SimSun"/>
          <w:lang w:val="en-GB"/>
        </w:rPr>
        <w:t>is one of them</w:t>
      </w:r>
      <w:r w:rsidR="00530896" w:rsidRPr="00844C55">
        <w:rPr>
          <w:rFonts w:eastAsia="SimSun"/>
          <w:lang w:val="en-GB"/>
        </w:rPr>
        <w:t>, in particular</w:t>
      </w:r>
      <w:r w:rsidR="00142FAF" w:rsidRPr="00844C55">
        <w:rPr>
          <w:rFonts w:eastAsia="SimSun"/>
          <w:lang w:val="en-GB"/>
        </w:rPr>
        <w:t>,</w:t>
      </w:r>
      <w:r w:rsidR="00530896" w:rsidRPr="00844C55">
        <w:rPr>
          <w:rFonts w:eastAsia="SimSun"/>
          <w:lang w:val="en-GB"/>
        </w:rPr>
        <w:t xml:space="preserve"> </w:t>
      </w:r>
      <w:r w:rsidR="00FD4A6B" w:rsidRPr="00844C55">
        <w:rPr>
          <w:rFonts w:eastAsia="SimSun"/>
          <w:lang w:val="en-GB"/>
        </w:rPr>
        <w:t xml:space="preserve">for </w:t>
      </w:r>
      <w:r w:rsidR="00530896" w:rsidRPr="00844C55">
        <w:rPr>
          <w:rFonts w:eastAsia="SimSun"/>
          <w:lang w:val="en-GB"/>
        </w:rPr>
        <w:t>technology markets.</w:t>
      </w:r>
      <w:r w:rsidR="00B4282F" w:rsidRPr="00844C55">
        <w:rPr>
          <w:rFonts w:eastAsia="SimSun"/>
          <w:lang w:val="en-GB"/>
        </w:rPr>
        <w:t xml:space="preserve"> </w:t>
      </w:r>
      <w:r w:rsidR="00BA341D" w:rsidRPr="00844C55">
        <w:rPr>
          <w:lang w:val="en-GB"/>
        </w:rPr>
        <w:t>In it</w:t>
      </w:r>
      <w:r w:rsidR="00C82639" w:rsidRPr="00844C55">
        <w:rPr>
          <w:lang w:val="en-GB"/>
        </w:rPr>
        <w:t>s</w:t>
      </w:r>
      <w:r w:rsidR="00BA341D" w:rsidRPr="00844C55">
        <w:rPr>
          <w:lang w:val="en-GB"/>
        </w:rPr>
        <w:t xml:space="preserve"> decision </w:t>
      </w:r>
      <w:r w:rsidR="00C82639" w:rsidRPr="00844C55">
        <w:rPr>
          <w:i/>
          <w:lang w:val="en-GB"/>
        </w:rPr>
        <w:t>PROMATECH / SULZER TEXTIL</w:t>
      </w:r>
      <w:r w:rsidR="00BA341D" w:rsidRPr="00844C55">
        <w:rPr>
          <w:rStyle w:val="FootnoteReference"/>
          <w:i/>
          <w:lang w:val="en-GB"/>
        </w:rPr>
        <w:footnoteReference w:id="55"/>
      </w:r>
      <w:r w:rsidR="00BA341D" w:rsidRPr="00844C55">
        <w:rPr>
          <w:i/>
          <w:lang w:val="en-GB"/>
        </w:rPr>
        <w:t xml:space="preserve">, </w:t>
      </w:r>
      <w:r w:rsidR="00BA341D" w:rsidRPr="00844C55">
        <w:rPr>
          <w:lang w:val="en-GB"/>
        </w:rPr>
        <w:t xml:space="preserve">the Commission noted that </w:t>
      </w:r>
      <w:r w:rsidR="00994DBE" w:rsidRPr="00844C55">
        <w:rPr>
          <w:rFonts w:ascii="TimesNewRoman" w:hAnsi="TimesNewRoman" w:cs="TimesNewRoman"/>
          <w:szCs w:val="24"/>
          <w:lang w:val="en-GB" w:bidi="ar-SA"/>
        </w:rPr>
        <w:t>the entry barrier to the Western European rapier market</w:t>
      </w:r>
      <w:r w:rsidR="00A15060" w:rsidRPr="00844C55">
        <w:rPr>
          <w:rFonts w:ascii="TimesNewRoman" w:hAnsi="TimesNewRoman" w:cs="TimesNewRoman"/>
          <w:szCs w:val="24"/>
          <w:lang w:val="en-GB" w:bidi="ar-SA"/>
        </w:rPr>
        <w:t xml:space="preserve"> would be significantly high. One of the reasons is that</w:t>
      </w:r>
      <w:r w:rsidR="00994DBE" w:rsidRPr="00844C55">
        <w:rPr>
          <w:rFonts w:ascii="TimesNewRoman" w:hAnsi="TimesNewRoman" w:cs="TimesNewRoman"/>
          <w:szCs w:val="24"/>
          <w:lang w:val="en-GB" w:bidi="ar-SA"/>
        </w:rPr>
        <w:t xml:space="preserve"> </w:t>
      </w:r>
      <w:r w:rsidR="00A15060" w:rsidRPr="00844C55">
        <w:rPr>
          <w:rFonts w:ascii="TimesNewRoman" w:hAnsi="TimesNewRoman" w:cs="TimesNewRoman"/>
          <w:szCs w:val="24"/>
          <w:lang w:val="en-GB" w:bidi="ar-SA"/>
        </w:rPr>
        <w:t xml:space="preserve">there are substantial research and development costs involved in entering this market. </w:t>
      </w:r>
      <w:r w:rsidR="003003AE" w:rsidRPr="00844C55">
        <w:rPr>
          <w:rFonts w:ascii="TimesNewRoman" w:hAnsi="TimesNewRoman" w:cs="TimesNewRoman"/>
          <w:szCs w:val="24"/>
          <w:lang w:val="en-GB" w:bidi="ar-SA"/>
        </w:rPr>
        <w:t>Firstly, research and development effort may not necessarily result in a viable technology. Secondly, the existenc</w:t>
      </w:r>
      <w:r w:rsidR="008A7BA9" w:rsidRPr="00844C55">
        <w:rPr>
          <w:rFonts w:ascii="TimesNewRoman" w:hAnsi="TimesNewRoman" w:cs="TimesNewRoman"/>
          <w:szCs w:val="24"/>
          <w:lang w:val="en-GB" w:bidi="ar-SA"/>
        </w:rPr>
        <w:t>e of patents</w:t>
      </w:r>
      <w:r w:rsidR="003003AE" w:rsidRPr="00844C55">
        <w:rPr>
          <w:rFonts w:ascii="TimesNewRoman" w:hAnsi="TimesNewRoman" w:cs="TimesNewRoman"/>
          <w:szCs w:val="24"/>
          <w:lang w:val="en-GB" w:bidi="ar-SA"/>
        </w:rPr>
        <w:t xml:space="preserve"> often prevents manufacturers from producing new technologies or requires them to adopt costly alternative solutions. Thirdly, </w:t>
      </w:r>
      <w:r w:rsidR="008A7BA9" w:rsidRPr="00844C55">
        <w:rPr>
          <w:rFonts w:ascii="TimesNewRoman" w:hAnsi="TimesNewRoman" w:cs="TimesNewRoman"/>
          <w:szCs w:val="24"/>
          <w:lang w:val="en-GB" w:bidi="ar-SA"/>
        </w:rPr>
        <w:t>in addition to the development of a new technology, late entry</w:t>
      </w:r>
      <w:r w:rsidR="003003AE" w:rsidRPr="00844C55">
        <w:rPr>
          <w:rFonts w:ascii="TimesNewRoman" w:hAnsi="TimesNewRoman" w:cs="TimesNewRoman"/>
          <w:szCs w:val="24"/>
          <w:lang w:val="en-GB" w:bidi="ar-SA"/>
        </w:rPr>
        <w:t xml:space="preserve"> requires </w:t>
      </w:r>
      <w:r w:rsidR="008A7BA9" w:rsidRPr="00844C55">
        <w:rPr>
          <w:rFonts w:ascii="TimesNewRoman" w:hAnsi="TimesNewRoman" w:cs="TimesNewRoman"/>
          <w:szCs w:val="24"/>
          <w:lang w:val="en-GB" w:bidi="ar-SA"/>
        </w:rPr>
        <w:t xml:space="preserve">considerate know-how of the operation of the technology. </w:t>
      </w:r>
    </w:p>
    <w:p w:rsidR="00272CC1" w:rsidRPr="00844C55" w:rsidRDefault="0058766C" w:rsidP="00272CC1">
      <w:pPr>
        <w:rPr>
          <w:lang w:val="en-GB"/>
        </w:rPr>
      </w:pPr>
      <w:r w:rsidRPr="00844C55">
        <w:rPr>
          <w:rFonts w:eastAsia="SimSun"/>
          <w:lang w:val="en-GB"/>
        </w:rPr>
        <w:t>In</w:t>
      </w:r>
      <w:r w:rsidR="00333989" w:rsidRPr="00844C55">
        <w:rPr>
          <w:rFonts w:eastAsia="SimSun"/>
          <w:lang w:val="en-GB"/>
        </w:rPr>
        <w:t xml:space="preserve"> a vertical merger, </w:t>
      </w:r>
      <w:r w:rsidR="00606FCB">
        <w:rPr>
          <w:rFonts w:eastAsia="SimSun"/>
          <w:lang w:val="en-GB"/>
        </w:rPr>
        <w:t xml:space="preserve">IPRs </w:t>
      </w:r>
      <w:r w:rsidRPr="00844C55">
        <w:rPr>
          <w:rFonts w:eastAsia="SimSun"/>
          <w:lang w:val="en-GB"/>
        </w:rPr>
        <w:t xml:space="preserve">are liable to </w:t>
      </w:r>
      <w:r w:rsidR="00333989" w:rsidRPr="00844C55">
        <w:rPr>
          <w:rFonts w:eastAsia="SimSun"/>
          <w:lang w:val="en-GB"/>
        </w:rPr>
        <w:t>be associated</w:t>
      </w:r>
      <w:r w:rsidR="00573006" w:rsidRPr="00844C55">
        <w:rPr>
          <w:rFonts w:eastAsia="SimSun"/>
          <w:lang w:val="en-GB"/>
        </w:rPr>
        <w:t xml:space="preserve"> with foreclosure of competition</w:t>
      </w:r>
      <w:r w:rsidR="00333989" w:rsidRPr="00844C55">
        <w:rPr>
          <w:rFonts w:eastAsia="SimSun"/>
          <w:lang w:val="en-GB"/>
        </w:rPr>
        <w:t xml:space="preserve">. </w:t>
      </w:r>
      <w:r w:rsidR="00181E24" w:rsidRPr="00844C55">
        <w:rPr>
          <w:lang w:val="en-GB"/>
        </w:rPr>
        <w:t xml:space="preserve">The EU Non-horizontal Merger Notice </w:t>
      </w:r>
      <w:r w:rsidR="002E07F8" w:rsidRPr="00844C55">
        <w:rPr>
          <w:lang w:val="en-GB"/>
        </w:rPr>
        <w:t xml:space="preserve">indicates that </w:t>
      </w:r>
      <w:r w:rsidR="00A3396A" w:rsidRPr="00844C55">
        <w:rPr>
          <w:rFonts w:eastAsia="SimSun"/>
          <w:lang w:val="en-GB"/>
        </w:rPr>
        <w:t xml:space="preserve">a </w:t>
      </w:r>
      <w:r w:rsidR="00EE551D" w:rsidRPr="00844C55">
        <w:rPr>
          <w:lang w:val="en-GB"/>
        </w:rPr>
        <w:t xml:space="preserve">denial of the access to </w:t>
      </w:r>
      <w:r w:rsidR="00606FCB">
        <w:rPr>
          <w:lang w:val="en-GB"/>
        </w:rPr>
        <w:t xml:space="preserve">IPRs </w:t>
      </w:r>
      <w:r w:rsidR="00EE551D" w:rsidRPr="00844C55">
        <w:rPr>
          <w:lang w:val="en-GB"/>
        </w:rPr>
        <w:t xml:space="preserve">could </w:t>
      </w:r>
      <w:r w:rsidR="00D84EC4" w:rsidRPr="00844C55">
        <w:rPr>
          <w:rFonts w:eastAsia="SimSun"/>
          <w:lang w:val="en-GB"/>
        </w:rPr>
        <w:t>lead to</w:t>
      </w:r>
      <w:r w:rsidR="00EE551D" w:rsidRPr="00844C55">
        <w:rPr>
          <w:lang w:val="en-GB"/>
        </w:rPr>
        <w:t xml:space="preserve"> </w:t>
      </w:r>
      <w:r w:rsidR="00D84EC4" w:rsidRPr="00844C55">
        <w:rPr>
          <w:rFonts w:eastAsia="SimSun"/>
          <w:lang w:val="en-GB"/>
        </w:rPr>
        <w:t>foreclose competition in the downstream market. T</w:t>
      </w:r>
      <w:r w:rsidR="00FA57C1" w:rsidRPr="00844C55">
        <w:rPr>
          <w:rFonts w:eastAsia="Times New Roman" w:cs="Times New Roman"/>
          <w:lang w:val="en-GB"/>
        </w:rPr>
        <w:t xml:space="preserve">he merged firm </w:t>
      </w:r>
      <w:r w:rsidR="00A3396A" w:rsidRPr="00844C55">
        <w:rPr>
          <w:rFonts w:eastAsia="SimSun" w:cs="Times New Roman"/>
          <w:lang w:val="en-GB"/>
        </w:rPr>
        <w:t>can</w:t>
      </w:r>
      <w:r w:rsidR="00FA57C1" w:rsidRPr="00844C55">
        <w:rPr>
          <w:rFonts w:eastAsia="Times New Roman" w:cs="Times New Roman"/>
          <w:lang w:val="en-GB"/>
        </w:rPr>
        <w:t xml:space="preserve"> restrict access to </w:t>
      </w:r>
      <w:r w:rsidR="00606FCB">
        <w:rPr>
          <w:rFonts w:eastAsia="SimSun"/>
          <w:lang w:val="en-GB"/>
        </w:rPr>
        <w:t xml:space="preserve">IPRs </w:t>
      </w:r>
      <w:r w:rsidR="00FA57C1" w:rsidRPr="00844C55">
        <w:rPr>
          <w:rFonts w:eastAsia="SimSun"/>
          <w:lang w:val="en-GB"/>
        </w:rPr>
        <w:t>from</w:t>
      </w:r>
      <w:r w:rsidR="00FA57C1" w:rsidRPr="00844C55">
        <w:rPr>
          <w:rFonts w:eastAsia="Times New Roman" w:cs="Times New Roman"/>
          <w:lang w:val="en-GB"/>
        </w:rPr>
        <w:t xml:space="preserve"> downstream </w:t>
      </w:r>
      <w:r w:rsidRPr="00844C55">
        <w:rPr>
          <w:rFonts w:eastAsia="SimSun" w:cs="Times New Roman"/>
          <w:lang w:val="en-GB"/>
        </w:rPr>
        <w:t>competitors</w:t>
      </w:r>
      <w:r w:rsidR="00D84EC4" w:rsidRPr="00844C55">
        <w:rPr>
          <w:rFonts w:eastAsia="SimSun"/>
          <w:lang w:val="en-GB"/>
        </w:rPr>
        <w:t xml:space="preserve"> by </w:t>
      </w:r>
      <w:r w:rsidRPr="00844C55">
        <w:rPr>
          <w:rFonts w:eastAsia="SimSun"/>
          <w:lang w:val="en-GB"/>
        </w:rPr>
        <w:t xml:space="preserve">refusing </w:t>
      </w:r>
      <w:r w:rsidR="005D0093" w:rsidRPr="00844C55">
        <w:rPr>
          <w:rFonts w:eastAsia="SimSun"/>
          <w:lang w:val="en-GB"/>
        </w:rPr>
        <w:t>access</w:t>
      </w:r>
      <w:r w:rsidRPr="00844C55">
        <w:rPr>
          <w:rFonts w:eastAsia="SimSun"/>
          <w:lang w:val="en-GB"/>
        </w:rPr>
        <w:t xml:space="preserve"> or </w:t>
      </w:r>
      <w:r w:rsidR="00D84EC4" w:rsidRPr="00844C55">
        <w:rPr>
          <w:rFonts w:eastAsia="Times New Roman" w:cs="Times New Roman"/>
          <w:lang w:val="en-GB"/>
        </w:rPr>
        <w:t xml:space="preserve">raising the </w:t>
      </w:r>
      <w:r w:rsidR="00D84EC4" w:rsidRPr="00844C55">
        <w:rPr>
          <w:rFonts w:eastAsia="SimSun"/>
          <w:lang w:val="en-GB"/>
        </w:rPr>
        <w:t xml:space="preserve">access </w:t>
      </w:r>
      <w:r w:rsidR="00D84EC4" w:rsidRPr="00844C55">
        <w:rPr>
          <w:rFonts w:eastAsia="Times New Roman" w:cs="Times New Roman"/>
          <w:lang w:val="en-GB"/>
        </w:rPr>
        <w:t>costs</w:t>
      </w:r>
      <w:r w:rsidR="00FA57C1" w:rsidRPr="00844C55">
        <w:rPr>
          <w:rFonts w:eastAsia="Times New Roman" w:cs="Times New Roman"/>
          <w:lang w:val="en-GB"/>
        </w:rPr>
        <w:t>,</w:t>
      </w:r>
      <w:r w:rsidR="00FA57C1" w:rsidRPr="00844C55">
        <w:rPr>
          <w:rFonts w:eastAsia="SimSun"/>
          <w:lang w:val="en-GB"/>
        </w:rPr>
        <w:t xml:space="preserve"> </w:t>
      </w:r>
      <w:r w:rsidR="00DE5706" w:rsidRPr="00844C55">
        <w:rPr>
          <w:rFonts w:eastAsia="SimSun"/>
          <w:lang w:val="en-GB"/>
        </w:rPr>
        <w:t>making it impossible or hard for the rivals</w:t>
      </w:r>
      <w:r w:rsidR="00D84EC4" w:rsidRPr="00844C55">
        <w:rPr>
          <w:rFonts w:eastAsia="SimSun"/>
          <w:lang w:val="en-GB"/>
        </w:rPr>
        <w:t xml:space="preserve"> to compete in the downstream market</w:t>
      </w:r>
      <w:r w:rsidR="00EE551D" w:rsidRPr="00844C55">
        <w:rPr>
          <w:lang w:val="en-GB"/>
        </w:rPr>
        <w:t>.</w:t>
      </w:r>
      <w:r w:rsidR="00EE551D" w:rsidRPr="00844C55">
        <w:rPr>
          <w:rStyle w:val="FootnoteReference"/>
          <w:lang w:val="en-GB"/>
        </w:rPr>
        <w:footnoteReference w:id="56"/>
      </w:r>
      <w:r w:rsidR="00EE551D" w:rsidRPr="00844C55">
        <w:rPr>
          <w:lang w:val="en-GB"/>
        </w:rPr>
        <w:t xml:space="preserve"> </w:t>
      </w:r>
      <w:r w:rsidR="00220577" w:rsidRPr="00844C55">
        <w:rPr>
          <w:rFonts w:eastAsia="SimSun"/>
          <w:lang w:val="en-GB"/>
        </w:rPr>
        <w:t xml:space="preserve">The Commission should determine whether the merged firm would have the ability and incentive to </w:t>
      </w:r>
      <w:r w:rsidR="00E23EE8" w:rsidRPr="00844C55">
        <w:rPr>
          <w:rFonts w:eastAsia="SimSun"/>
          <w:lang w:val="en-GB"/>
        </w:rPr>
        <w:t>pursue an</w:t>
      </w:r>
      <w:r w:rsidR="00220577" w:rsidRPr="00844C55">
        <w:rPr>
          <w:rFonts w:eastAsia="SimSun"/>
          <w:lang w:val="en-GB"/>
        </w:rPr>
        <w:t xml:space="preserve"> IP foreclosure</w:t>
      </w:r>
      <w:r w:rsidR="00E23EE8" w:rsidRPr="00844C55">
        <w:rPr>
          <w:rFonts w:eastAsia="SimSun"/>
          <w:lang w:val="en-GB"/>
        </w:rPr>
        <w:t xml:space="preserve"> strategy</w:t>
      </w:r>
      <w:r w:rsidR="005D0093" w:rsidRPr="00844C55">
        <w:rPr>
          <w:rFonts w:eastAsia="SimSun"/>
          <w:lang w:val="en-GB"/>
        </w:rPr>
        <w:t xml:space="preserve"> by using the relevant benchmark, namely, whether the increased access costs would lead to higher prices for consumers</w:t>
      </w:r>
      <w:r w:rsidR="00220577" w:rsidRPr="00844C55">
        <w:rPr>
          <w:rFonts w:eastAsia="SimSun"/>
          <w:lang w:val="en-GB"/>
        </w:rPr>
        <w:t>.</w:t>
      </w:r>
      <w:r w:rsidR="005D0093" w:rsidRPr="00844C55">
        <w:rPr>
          <w:rStyle w:val="FootnoteReference"/>
          <w:rFonts w:eastAsia="SimSun"/>
          <w:lang w:val="en-GB"/>
        </w:rPr>
        <w:footnoteReference w:id="57"/>
      </w:r>
      <w:r w:rsidR="00220577" w:rsidRPr="00844C55">
        <w:rPr>
          <w:rFonts w:eastAsia="SimSun"/>
          <w:lang w:val="en-GB"/>
        </w:rPr>
        <w:t xml:space="preserve"> </w:t>
      </w:r>
      <w:r w:rsidR="00BF762F" w:rsidRPr="00844C55">
        <w:rPr>
          <w:lang w:val="en-GB"/>
        </w:rPr>
        <w:t xml:space="preserve">In </w:t>
      </w:r>
      <w:r w:rsidR="00BF762F" w:rsidRPr="00844C55">
        <w:rPr>
          <w:i/>
          <w:lang w:val="en-GB"/>
        </w:rPr>
        <w:t>Universal/ BMG</w:t>
      </w:r>
      <w:r w:rsidR="00BF762F" w:rsidRPr="00844C55">
        <w:rPr>
          <w:rStyle w:val="FootnoteReference"/>
          <w:i/>
          <w:lang w:val="en-GB"/>
        </w:rPr>
        <w:footnoteReference w:id="58"/>
      </w:r>
      <w:r w:rsidR="003976ED" w:rsidRPr="00844C55">
        <w:rPr>
          <w:i/>
          <w:lang w:val="en-GB"/>
        </w:rPr>
        <w:t>,</w:t>
      </w:r>
      <w:r w:rsidR="00BF762F" w:rsidRPr="00844C55">
        <w:rPr>
          <w:i/>
          <w:lang w:val="en-GB"/>
        </w:rPr>
        <w:t xml:space="preserve"> </w:t>
      </w:r>
      <w:r w:rsidR="003976ED" w:rsidRPr="00844C55">
        <w:rPr>
          <w:lang w:val="en-GB"/>
        </w:rPr>
        <w:t xml:space="preserve">the Commission found </w:t>
      </w:r>
      <w:r w:rsidR="009313A0" w:rsidRPr="00844C55">
        <w:rPr>
          <w:lang w:val="en-GB"/>
        </w:rPr>
        <w:t>no competition concerns in mechanical and performance rights for traditional applications</w:t>
      </w:r>
      <w:r w:rsidR="003976ED" w:rsidRPr="00844C55">
        <w:rPr>
          <w:lang w:val="en-GB"/>
        </w:rPr>
        <w:t xml:space="preserve"> </w:t>
      </w:r>
      <w:r w:rsidR="009313A0" w:rsidRPr="00844C55">
        <w:rPr>
          <w:lang w:val="en-GB"/>
        </w:rPr>
        <w:t>due to the traditional collecting societies system. However,</w:t>
      </w:r>
      <w:r w:rsidR="0096625E" w:rsidRPr="00844C55">
        <w:rPr>
          <w:rFonts w:eastAsia="SimSun"/>
          <w:lang w:val="en-GB"/>
        </w:rPr>
        <w:t xml:space="preserve"> online market might be exposed to vertical effects. A</w:t>
      </w:r>
      <w:r w:rsidR="009313A0" w:rsidRPr="00844C55">
        <w:rPr>
          <w:lang w:val="en-GB"/>
        </w:rPr>
        <w:t xml:space="preserve"> part of their online rights</w:t>
      </w:r>
      <w:r w:rsidR="0096625E" w:rsidRPr="00844C55">
        <w:rPr>
          <w:rFonts w:eastAsia="SimSun"/>
          <w:lang w:val="en-GB"/>
        </w:rPr>
        <w:t xml:space="preserve">, </w:t>
      </w:r>
      <w:r w:rsidR="009313A0" w:rsidRPr="00844C55">
        <w:rPr>
          <w:lang w:val="en-GB"/>
        </w:rPr>
        <w:t xml:space="preserve">i.e. Anglo-American song repertoires, </w:t>
      </w:r>
      <w:r w:rsidR="0096625E" w:rsidRPr="00844C55">
        <w:rPr>
          <w:rFonts w:eastAsia="SimSun"/>
          <w:lang w:val="en-GB"/>
        </w:rPr>
        <w:t xml:space="preserve">were </w:t>
      </w:r>
      <w:r w:rsidR="0096625E" w:rsidRPr="00844C55">
        <w:rPr>
          <w:lang w:val="en-GB"/>
        </w:rPr>
        <w:t xml:space="preserve">withdrew </w:t>
      </w:r>
      <w:r w:rsidR="009313A0" w:rsidRPr="00844C55">
        <w:rPr>
          <w:lang w:val="en-GB"/>
        </w:rPr>
        <w:t>from the traditional system of collecting societies</w:t>
      </w:r>
      <w:r w:rsidR="00B30729" w:rsidRPr="00844C55">
        <w:rPr>
          <w:lang w:val="en-GB"/>
        </w:rPr>
        <w:t>, and licensed to</w:t>
      </w:r>
      <w:r w:rsidR="009313A0" w:rsidRPr="00844C55">
        <w:rPr>
          <w:lang w:val="en-GB"/>
        </w:rPr>
        <w:t xml:space="preserve"> </w:t>
      </w:r>
      <w:r w:rsidR="00B30729" w:rsidRPr="00844C55">
        <w:rPr>
          <w:lang w:val="en-GB"/>
        </w:rPr>
        <w:t xml:space="preserve">one or a few selected collecting societies for the EEA-wide administration. </w:t>
      </w:r>
      <w:r w:rsidR="00461CBD" w:rsidRPr="00844C55">
        <w:rPr>
          <w:lang w:val="en-GB"/>
        </w:rPr>
        <w:t xml:space="preserve">The merged entity would after the merger be able to control over a large percentage of titles either via its (fully or partly owned) copyrights based on the song-writers' works or via its rights based on the individual recordings. </w:t>
      </w:r>
      <w:r w:rsidR="00E97350" w:rsidRPr="00844C55">
        <w:rPr>
          <w:lang w:val="en-GB"/>
        </w:rPr>
        <w:t xml:space="preserve">The combined catalogues of </w:t>
      </w:r>
      <w:r w:rsidR="00461CBD" w:rsidRPr="00844C55">
        <w:rPr>
          <w:rStyle w:val="Emphasis"/>
          <w:i w:val="0"/>
          <w:lang w:val="en-GB"/>
        </w:rPr>
        <w:t>the merged entity</w:t>
      </w:r>
      <w:r w:rsidR="00272CC1" w:rsidRPr="00844C55">
        <w:rPr>
          <w:lang w:val="en-GB"/>
        </w:rPr>
        <w:t xml:space="preserve"> would have </w:t>
      </w:r>
      <w:r w:rsidR="00E97350" w:rsidRPr="00844C55">
        <w:rPr>
          <w:lang w:val="en-GB"/>
        </w:rPr>
        <w:t>controlled the majority of the</w:t>
      </w:r>
      <w:r w:rsidR="0096625E" w:rsidRPr="00844C55">
        <w:rPr>
          <w:lang w:val="en-GB"/>
        </w:rPr>
        <w:t xml:space="preserve"> chart hits which </w:t>
      </w:r>
      <w:r w:rsidR="0096625E" w:rsidRPr="00844C55">
        <w:rPr>
          <w:rFonts w:eastAsia="SimSun"/>
          <w:lang w:val="en-GB"/>
        </w:rPr>
        <w:t>were</w:t>
      </w:r>
      <w:r w:rsidR="00461CBD" w:rsidRPr="00844C55">
        <w:rPr>
          <w:lang w:val="en-GB"/>
        </w:rPr>
        <w:t xml:space="preserve"> particular important</w:t>
      </w:r>
      <w:r w:rsidR="00E97350" w:rsidRPr="00844C55">
        <w:rPr>
          <w:lang w:val="en-GB"/>
        </w:rPr>
        <w:t xml:space="preserve"> for online and </w:t>
      </w:r>
      <w:r w:rsidR="00E97350" w:rsidRPr="00844C55">
        <w:rPr>
          <w:lang w:val="en-GB"/>
        </w:rPr>
        <w:lastRenderedPageBreak/>
        <w:t>mobile music providers.</w:t>
      </w:r>
      <w:r w:rsidR="00272CC1" w:rsidRPr="00844C55">
        <w:rPr>
          <w:lang w:val="en-GB"/>
        </w:rPr>
        <w:t xml:space="preserve"> </w:t>
      </w:r>
      <w:r w:rsidR="0042546C" w:rsidRPr="00844C55">
        <w:rPr>
          <w:lang w:val="en-GB"/>
        </w:rPr>
        <w:t>A</w:t>
      </w:r>
      <w:r w:rsidR="00461CBD" w:rsidRPr="00844C55">
        <w:rPr>
          <w:lang w:val="en-GB"/>
        </w:rPr>
        <w:t xml:space="preserve"> price increase was likely to be profitable for the publishers after the withdrawal in the online market. </w:t>
      </w:r>
    </w:p>
    <w:p w:rsidR="00D1179E" w:rsidRPr="00844C55" w:rsidRDefault="001F77DE" w:rsidP="00B809F2">
      <w:pPr>
        <w:pStyle w:val="Heading2"/>
        <w:rPr>
          <w:lang w:val="en-GB" w:bidi="ar-SA"/>
        </w:rPr>
      </w:pPr>
      <w:r w:rsidRPr="00844C55">
        <w:rPr>
          <w:rFonts w:eastAsia="SimSun"/>
          <w:lang w:val="en-GB" w:bidi="ar-SA"/>
        </w:rPr>
        <w:t>Compulsory Licensing as Merger Remedies</w:t>
      </w:r>
      <w:r w:rsidR="00D1179E" w:rsidRPr="00844C55">
        <w:rPr>
          <w:lang w:val="en-GB" w:bidi="ar-SA"/>
        </w:rPr>
        <w:t xml:space="preserve"> </w:t>
      </w:r>
    </w:p>
    <w:p w:rsidR="009335F2" w:rsidRPr="00844C55" w:rsidRDefault="00172CA4" w:rsidP="00A25A4F">
      <w:pPr>
        <w:rPr>
          <w:rFonts w:eastAsia="SimSun"/>
          <w:lang w:val="en-GB" w:bidi="ar-SA"/>
        </w:rPr>
      </w:pPr>
      <w:r w:rsidRPr="00844C55">
        <w:rPr>
          <w:lang w:val="en-GB" w:bidi="ar-SA"/>
        </w:rPr>
        <w:t xml:space="preserve">Merger remedies are designed to remove competition concerns. </w:t>
      </w:r>
      <w:r w:rsidR="00210BE3" w:rsidRPr="00844C55">
        <w:rPr>
          <w:lang w:val="en-GB"/>
        </w:rPr>
        <w:t xml:space="preserve">A desirable remedy should </w:t>
      </w:r>
      <w:r w:rsidR="00DC57E3" w:rsidRPr="00844C55">
        <w:rPr>
          <w:lang w:val="en-GB"/>
        </w:rPr>
        <w:t>entire</w:t>
      </w:r>
      <w:r w:rsidR="00210BE3" w:rsidRPr="00844C55">
        <w:rPr>
          <w:lang w:val="en-GB"/>
        </w:rPr>
        <w:t xml:space="preserve">ly </w:t>
      </w:r>
      <w:r w:rsidR="00DC57E3" w:rsidRPr="00844C55">
        <w:rPr>
          <w:lang w:val="en-GB"/>
        </w:rPr>
        <w:t>resolve</w:t>
      </w:r>
      <w:r w:rsidR="00210BE3" w:rsidRPr="00844C55">
        <w:rPr>
          <w:lang w:val="en-GB"/>
        </w:rPr>
        <w:t xml:space="preserve"> the competition </w:t>
      </w:r>
      <w:r w:rsidR="005E25C2" w:rsidRPr="00844C55">
        <w:rPr>
          <w:lang w:val="en-GB"/>
        </w:rPr>
        <w:t>concerns</w:t>
      </w:r>
      <w:r w:rsidR="00210BE3" w:rsidRPr="00844C55">
        <w:rPr>
          <w:lang w:val="en-GB"/>
        </w:rPr>
        <w:t xml:space="preserve"> without unnecessarily restricting the freedom of firms to seek efficiencies and profitable opportunities.</w:t>
      </w:r>
      <w:r w:rsidR="00210BE3" w:rsidRPr="00844C55">
        <w:rPr>
          <w:rStyle w:val="FootnoteReference"/>
          <w:lang w:val="en-GB"/>
        </w:rPr>
        <w:footnoteReference w:id="59"/>
      </w:r>
      <w:r w:rsidR="00210BE3" w:rsidRPr="00844C55">
        <w:rPr>
          <w:lang w:val="en-GB"/>
        </w:rPr>
        <w:t xml:space="preserve"> </w:t>
      </w:r>
      <w:r w:rsidR="0048170F" w:rsidRPr="00844C55">
        <w:rPr>
          <w:lang w:val="en-GB"/>
        </w:rPr>
        <w:t>It is</w:t>
      </w:r>
      <w:r w:rsidR="005E25C2" w:rsidRPr="00844C55">
        <w:rPr>
          <w:lang w:val="en-GB"/>
        </w:rPr>
        <w:t xml:space="preserve"> expected to </w:t>
      </w:r>
      <w:r w:rsidR="00E25204" w:rsidRPr="00844C55">
        <w:rPr>
          <w:lang w:val="en-GB"/>
        </w:rPr>
        <w:t xml:space="preserve">be </w:t>
      </w:r>
      <w:r w:rsidR="0048170F" w:rsidRPr="00844C55">
        <w:rPr>
          <w:lang w:val="en-GB"/>
        </w:rPr>
        <w:t xml:space="preserve">able to eliminate competition concern </w:t>
      </w:r>
      <w:r w:rsidR="00E25204" w:rsidRPr="00844C55">
        <w:rPr>
          <w:lang w:val="en-GB"/>
        </w:rPr>
        <w:t>comprehensive</w:t>
      </w:r>
      <w:r w:rsidR="00C323B2" w:rsidRPr="00844C55">
        <w:rPr>
          <w:lang w:val="en-GB"/>
        </w:rPr>
        <w:t>ly</w:t>
      </w:r>
      <w:r w:rsidR="00E25204" w:rsidRPr="00844C55">
        <w:rPr>
          <w:lang w:val="en-GB"/>
        </w:rPr>
        <w:t>, effective</w:t>
      </w:r>
      <w:r w:rsidR="00C323B2" w:rsidRPr="00844C55">
        <w:rPr>
          <w:lang w:val="en-GB"/>
        </w:rPr>
        <w:t>ly</w:t>
      </w:r>
      <w:r w:rsidR="00E25204" w:rsidRPr="00844C55">
        <w:rPr>
          <w:lang w:val="en-GB"/>
        </w:rPr>
        <w:t xml:space="preserve"> and </w:t>
      </w:r>
      <w:r w:rsidR="00C323B2" w:rsidRPr="00844C55">
        <w:rPr>
          <w:lang w:val="en-GB"/>
        </w:rPr>
        <w:t xml:space="preserve">in a </w:t>
      </w:r>
      <w:r w:rsidR="00E25204" w:rsidRPr="00844C55">
        <w:rPr>
          <w:lang w:val="en-GB"/>
        </w:rPr>
        <w:t>timely</w:t>
      </w:r>
      <w:r w:rsidR="00C323B2" w:rsidRPr="00844C55">
        <w:rPr>
          <w:lang w:val="en-GB"/>
        </w:rPr>
        <w:t xml:space="preserve"> fashion</w:t>
      </w:r>
      <w:r w:rsidR="00E25204" w:rsidRPr="00844C55">
        <w:rPr>
          <w:lang w:val="en-GB"/>
        </w:rPr>
        <w:t>.</w:t>
      </w:r>
      <w:r w:rsidR="0048170F" w:rsidRPr="00844C55">
        <w:rPr>
          <w:rStyle w:val="FootnoteReference"/>
          <w:lang w:val="en-GB"/>
        </w:rPr>
        <w:footnoteReference w:id="60"/>
      </w:r>
      <w:r w:rsidR="00E25204" w:rsidRPr="00844C55">
        <w:rPr>
          <w:lang w:val="en-GB"/>
        </w:rPr>
        <w:t xml:space="preserve"> On the other hand, s</w:t>
      </w:r>
      <w:r w:rsidR="002810F6" w:rsidRPr="00844C55">
        <w:rPr>
          <w:lang w:val="en-GB"/>
        </w:rPr>
        <w:t>ubject to the</w:t>
      </w:r>
      <w:r w:rsidR="00346A7B" w:rsidRPr="00844C55">
        <w:rPr>
          <w:lang w:val="en-GB"/>
        </w:rPr>
        <w:t xml:space="preserve"> principle of proportionality</w:t>
      </w:r>
      <w:r w:rsidR="002810F6" w:rsidRPr="00844C55">
        <w:rPr>
          <w:lang w:val="en-GB"/>
        </w:rPr>
        <w:t>,</w:t>
      </w:r>
      <w:r w:rsidR="004634EA" w:rsidRPr="00844C55">
        <w:rPr>
          <w:lang w:val="en-GB"/>
        </w:rPr>
        <w:t xml:space="preserve"> </w:t>
      </w:r>
      <w:r w:rsidR="005B3C50" w:rsidRPr="00844C55">
        <w:rPr>
          <w:lang w:val="en-GB"/>
        </w:rPr>
        <w:t>r</w:t>
      </w:r>
      <w:r w:rsidR="004634EA" w:rsidRPr="00844C55">
        <w:rPr>
          <w:lang w:val="en-GB"/>
        </w:rPr>
        <w:t xml:space="preserve">emedies </w:t>
      </w:r>
      <w:r w:rsidR="002810F6" w:rsidRPr="00844C55">
        <w:rPr>
          <w:lang w:val="en-GB"/>
        </w:rPr>
        <w:t>shall</w:t>
      </w:r>
      <w:r w:rsidR="00346A7B" w:rsidRPr="00844C55">
        <w:rPr>
          <w:lang w:val="en-GB"/>
        </w:rPr>
        <w:t xml:space="preserve"> </w:t>
      </w:r>
      <w:r w:rsidR="001E40C6" w:rsidRPr="00844C55">
        <w:rPr>
          <w:lang w:val="en-GB"/>
        </w:rPr>
        <w:t xml:space="preserve">be proportionate to the competition concern and </w:t>
      </w:r>
      <w:r w:rsidR="00346A7B" w:rsidRPr="00844C55">
        <w:rPr>
          <w:lang w:val="en-GB"/>
        </w:rPr>
        <w:t xml:space="preserve">not exceed the limits that are appropriate and necessary in order to </w:t>
      </w:r>
      <w:r w:rsidR="005B3C50" w:rsidRPr="00844C55">
        <w:rPr>
          <w:lang w:val="en-GB" w:bidi="ar-SA"/>
        </w:rPr>
        <w:t>achieve their</w:t>
      </w:r>
      <w:r w:rsidR="001E40C6" w:rsidRPr="00844C55">
        <w:rPr>
          <w:lang w:val="en-GB" w:bidi="ar-SA"/>
        </w:rPr>
        <w:t xml:space="preserve"> purpose</w:t>
      </w:r>
      <w:r w:rsidR="002810F6" w:rsidRPr="00844C55">
        <w:rPr>
          <w:lang w:val="en-GB" w:bidi="ar-SA"/>
        </w:rPr>
        <w:t xml:space="preserve">. </w:t>
      </w:r>
    </w:p>
    <w:p w:rsidR="00E55089" w:rsidRPr="00844C55" w:rsidRDefault="009335F2" w:rsidP="00A25A4F">
      <w:pPr>
        <w:rPr>
          <w:rFonts w:eastAsia="SimSun"/>
          <w:lang w:val="en-GB" w:bidi="ar-SA"/>
        </w:rPr>
      </w:pPr>
      <w:r w:rsidRPr="00844C55">
        <w:rPr>
          <w:rFonts w:eastAsia="SimSun"/>
          <w:lang w:val="en-GB" w:bidi="ar-SA"/>
        </w:rPr>
        <w:t>Divestiture, the most common structural remedy, is the Commission’s favourite</w:t>
      </w:r>
      <w:r w:rsidR="006D447F">
        <w:rPr>
          <w:rFonts w:eastAsia="SimSun" w:hint="eastAsia"/>
          <w:lang w:val="en-GB" w:bidi="ar-SA"/>
        </w:rPr>
        <w:t xml:space="preserve"> merger remedy</w:t>
      </w:r>
      <w:r w:rsidRPr="00844C55">
        <w:rPr>
          <w:rFonts w:eastAsia="SimSun"/>
          <w:lang w:val="en-GB" w:bidi="ar-SA"/>
        </w:rPr>
        <w:t xml:space="preserve">, which </w:t>
      </w:r>
      <w:r w:rsidRPr="00844C55">
        <w:rPr>
          <w:lang w:val="en-GB" w:bidi="ar-SA"/>
        </w:rPr>
        <w:t xml:space="preserve">re-creates a new source of competition or strengthens an existing source of competition via sale of a business or set of assets to a new entrant or an existing rival.  </w:t>
      </w:r>
      <w:r w:rsidR="00CE1439" w:rsidRPr="00844C55">
        <w:rPr>
          <w:rFonts w:eastAsia="SimSun"/>
          <w:lang w:val="en-GB" w:bidi="ar-SA"/>
        </w:rPr>
        <w:t>It is</w:t>
      </w:r>
      <w:r w:rsidR="00CE1439" w:rsidRPr="00844C55">
        <w:rPr>
          <w:lang w:val="en-GB" w:bidi="ar-SA"/>
        </w:rPr>
        <w:t xml:space="preserve"> the most effective because </w:t>
      </w:r>
      <w:r w:rsidR="00CE1439" w:rsidRPr="00844C55">
        <w:rPr>
          <w:rFonts w:eastAsia="SimSun"/>
          <w:lang w:val="en-GB" w:bidi="ar-SA"/>
        </w:rPr>
        <w:t>it</w:t>
      </w:r>
      <w:r w:rsidR="00CE1439" w:rsidRPr="00844C55">
        <w:rPr>
          <w:lang w:val="en-GB" w:bidi="ar-SA"/>
        </w:rPr>
        <w:t xml:space="preserve"> prevents durably competition problems and does not require medium or long-term monitoring measures.</w:t>
      </w:r>
      <w:r w:rsidR="00CE1439" w:rsidRPr="00844C55">
        <w:rPr>
          <w:rStyle w:val="FootnoteReference"/>
          <w:lang w:val="en-GB" w:bidi="ar-SA"/>
        </w:rPr>
        <w:footnoteReference w:id="61"/>
      </w:r>
      <w:r w:rsidR="00CE1439" w:rsidRPr="00844C55">
        <w:rPr>
          <w:lang w:val="en-GB" w:bidi="ar-SA"/>
        </w:rPr>
        <w:t xml:space="preserve"> </w:t>
      </w:r>
      <w:r w:rsidR="00C90BAC" w:rsidRPr="00844C55">
        <w:rPr>
          <w:lang w:val="en-GB" w:bidi="ar-SA"/>
        </w:rPr>
        <w:t>C</w:t>
      </w:r>
      <w:r w:rsidR="00E55089" w:rsidRPr="00844C55">
        <w:rPr>
          <w:rFonts w:eastAsia="SimSun"/>
          <w:lang w:val="en-GB" w:bidi="ar-SA"/>
        </w:rPr>
        <w:t>ompulsory licensing</w:t>
      </w:r>
      <w:r w:rsidR="008515ED" w:rsidRPr="00844C55">
        <w:rPr>
          <w:rFonts w:eastAsia="SimSun"/>
          <w:lang w:val="en-GB" w:bidi="ar-SA"/>
        </w:rPr>
        <w:t xml:space="preserve">, as a behavioural remedy is not the top choice on the Commission’s list. </w:t>
      </w:r>
      <w:r w:rsidR="00E55089" w:rsidRPr="00844C55">
        <w:rPr>
          <w:rFonts w:eastAsia="SimSun"/>
          <w:lang w:val="en-GB" w:bidi="ar-SA"/>
        </w:rPr>
        <w:t xml:space="preserve"> </w:t>
      </w:r>
      <w:r w:rsidR="00E041FF" w:rsidRPr="00844C55">
        <w:rPr>
          <w:rFonts w:eastAsia="SimSun"/>
          <w:lang w:val="en-GB" w:bidi="ar-SA"/>
        </w:rPr>
        <w:t>It m</w:t>
      </w:r>
      <w:r w:rsidR="0058570D" w:rsidRPr="00844C55">
        <w:rPr>
          <w:rFonts w:eastAsia="SimSun"/>
          <w:lang w:val="en-GB" w:bidi="ar-SA"/>
        </w:rPr>
        <w:t>ay be adopted as a supplement</w:t>
      </w:r>
      <w:r w:rsidR="00E041FF" w:rsidRPr="00844C55">
        <w:rPr>
          <w:rFonts w:eastAsia="SimSun"/>
          <w:lang w:val="en-GB" w:bidi="ar-SA"/>
        </w:rPr>
        <w:t xml:space="preserve"> to a divestiture or when divestitures are not plausible</w:t>
      </w:r>
      <w:r w:rsidR="0058570D" w:rsidRPr="00844C55">
        <w:rPr>
          <w:rFonts w:eastAsia="SimSun"/>
          <w:lang w:val="en-GB" w:bidi="ar-SA"/>
        </w:rPr>
        <w:t xml:space="preserve"> or proportionate</w:t>
      </w:r>
      <w:r w:rsidR="008515ED" w:rsidRPr="00844C55">
        <w:rPr>
          <w:rFonts w:eastAsia="SimSun"/>
          <w:lang w:val="en-GB" w:bidi="ar-SA"/>
        </w:rPr>
        <w:t>.</w:t>
      </w:r>
      <w:r w:rsidR="00E041FF" w:rsidRPr="00844C55">
        <w:rPr>
          <w:rStyle w:val="FootnoteReference"/>
          <w:rFonts w:eastAsia="SimSun"/>
          <w:lang w:val="en-GB" w:bidi="ar-SA"/>
        </w:rPr>
        <w:footnoteReference w:id="62"/>
      </w:r>
      <w:r w:rsidR="008515ED" w:rsidRPr="00844C55">
        <w:rPr>
          <w:rFonts w:eastAsia="SimSun"/>
          <w:lang w:val="en-GB" w:bidi="ar-SA"/>
        </w:rPr>
        <w:t xml:space="preserve"> </w:t>
      </w:r>
      <w:r w:rsidR="00FF5A1B" w:rsidRPr="00844C55">
        <w:rPr>
          <w:rFonts w:eastAsia="SimSun"/>
          <w:lang w:val="en-GB" w:bidi="ar-SA"/>
        </w:rPr>
        <w:t>The</w:t>
      </w:r>
      <w:r w:rsidR="00E55089" w:rsidRPr="00844C55">
        <w:rPr>
          <w:rFonts w:eastAsia="SimSun"/>
          <w:lang w:val="en-GB" w:bidi="ar-SA"/>
        </w:rPr>
        <w:t xml:space="preserve"> design </w:t>
      </w:r>
      <w:r w:rsidR="00FF5A1B" w:rsidRPr="00844C55">
        <w:rPr>
          <w:rFonts w:eastAsia="SimSun"/>
          <w:lang w:val="en-GB" w:bidi="ar-SA"/>
        </w:rPr>
        <w:t xml:space="preserve">of a compulsory licence </w:t>
      </w:r>
      <w:r w:rsidR="008515ED" w:rsidRPr="00844C55">
        <w:rPr>
          <w:rFonts w:eastAsia="SimSun"/>
          <w:lang w:val="en-GB" w:bidi="ar-SA"/>
        </w:rPr>
        <w:t xml:space="preserve">is determined by </w:t>
      </w:r>
      <w:r w:rsidR="00E55089" w:rsidRPr="00844C55">
        <w:rPr>
          <w:rFonts w:eastAsia="SimSun"/>
          <w:lang w:val="en-GB" w:bidi="ar-SA"/>
        </w:rPr>
        <w:t>the nature of competition concern</w:t>
      </w:r>
      <w:r w:rsidR="008515ED" w:rsidRPr="00844C55">
        <w:rPr>
          <w:rFonts w:eastAsia="SimSun"/>
          <w:lang w:val="en-GB" w:bidi="ar-SA"/>
        </w:rPr>
        <w:t>,</w:t>
      </w:r>
      <w:r w:rsidR="00E55089" w:rsidRPr="00844C55">
        <w:rPr>
          <w:lang w:val="en-GB" w:bidi="ar-SA"/>
        </w:rPr>
        <w:t xml:space="preserve"> the strength of the </w:t>
      </w:r>
      <w:r w:rsidR="00606FCB">
        <w:rPr>
          <w:lang w:val="en-GB" w:bidi="ar-SA"/>
        </w:rPr>
        <w:t xml:space="preserve">IPRs </w:t>
      </w:r>
      <w:r w:rsidR="00E55089" w:rsidRPr="00844C55">
        <w:rPr>
          <w:lang w:val="en-GB" w:bidi="ar-SA"/>
        </w:rPr>
        <w:t>concerned</w:t>
      </w:r>
      <w:r w:rsidR="008515ED" w:rsidRPr="00844C55">
        <w:rPr>
          <w:rFonts w:eastAsia="SimSun"/>
          <w:lang w:val="en-GB" w:bidi="ar-SA"/>
        </w:rPr>
        <w:t xml:space="preserve"> and its relation with divestiture</w:t>
      </w:r>
      <w:r w:rsidR="00E55089" w:rsidRPr="00844C55">
        <w:rPr>
          <w:lang w:val="en-GB" w:bidi="ar-SA"/>
        </w:rPr>
        <w:t>.</w:t>
      </w:r>
      <w:r w:rsidRPr="00844C55">
        <w:rPr>
          <w:rFonts w:eastAsia="SimSun"/>
          <w:lang w:val="en-GB" w:bidi="ar-SA"/>
        </w:rPr>
        <w:t xml:space="preserve"> </w:t>
      </w:r>
    </w:p>
    <w:p w:rsidR="00D1179E" w:rsidRPr="00844C55" w:rsidRDefault="00764A5B" w:rsidP="00B809F2">
      <w:pPr>
        <w:pStyle w:val="Heading3"/>
        <w:rPr>
          <w:lang w:val="en-GB" w:bidi="ar-SA"/>
        </w:rPr>
      </w:pPr>
      <w:r w:rsidRPr="00844C55">
        <w:rPr>
          <w:rFonts w:eastAsia="SimSun"/>
          <w:lang w:val="en-GB" w:bidi="ar-SA"/>
        </w:rPr>
        <w:t>Supplement</w:t>
      </w:r>
      <w:r w:rsidR="00043EDC" w:rsidRPr="00844C55">
        <w:rPr>
          <w:rFonts w:eastAsia="SimSun"/>
          <w:lang w:val="en-GB" w:bidi="ar-SA"/>
        </w:rPr>
        <w:t xml:space="preserve"> to Divestiture</w:t>
      </w:r>
    </w:p>
    <w:p w:rsidR="00F12258" w:rsidRPr="00844C55" w:rsidRDefault="006A4F03" w:rsidP="00F12258">
      <w:pPr>
        <w:rPr>
          <w:rFonts w:ascii="TimesNewRoman" w:eastAsia="SimSun" w:hAnsi="TimesNewRoman" w:cs="TimesNewRoman"/>
          <w:szCs w:val="24"/>
          <w:lang w:val="en-GB" w:bidi="ar-SA"/>
        </w:rPr>
      </w:pPr>
      <w:r w:rsidRPr="00844C55">
        <w:rPr>
          <w:rFonts w:eastAsia="SimSun"/>
          <w:lang w:val="en-GB" w:bidi="ar-SA"/>
        </w:rPr>
        <w:t xml:space="preserve">Divestitures are radical remedies seeking </w:t>
      </w:r>
      <w:r w:rsidR="009335F2" w:rsidRPr="00844C55">
        <w:rPr>
          <w:lang w:val="en-GB" w:bidi="ar-SA"/>
        </w:rPr>
        <w:t>to preserve the competitive con</w:t>
      </w:r>
      <w:r w:rsidR="00CE1439" w:rsidRPr="00844C55">
        <w:rPr>
          <w:lang w:val="en-GB" w:bidi="ar-SA"/>
        </w:rPr>
        <w:t>strains</w:t>
      </w:r>
      <w:r w:rsidR="009335F2" w:rsidRPr="00844C55">
        <w:rPr>
          <w:lang w:val="en-GB" w:bidi="ar-SA"/>
        </w:rPr>
        <w:t xml:space="preserve"> by transferring a market position from the merging parties to another competitor.</w:t>
      </w:r>
      <w:r w:rsidR="009335F2" w:rsidRPr="00844C55">
        <w:rPr>
          <w:rFonts w:eastAsia="SimSun"/>
          <w:lang w:val="en-GB" w:bidi="ar-SA"/>
        </w:rPr>
        <w:t xml:space="preserve"> </w:t>
      </w:r>
      <w:r w:rsidR="00FA4C9D" w:rsidRPr="00844C55">
        <w:rPr>
          <w:rFonts w:eastAsia="SimSun"/>
          <w:lang w:val="en-GB" w:bidi="ar-SA"/>
        </w:rPr>
        <w:t>In order to enhance the viability of the divested assets, the merged firm are re</w:t>
      </w:r>
      <w:r w:rsidR="006D447F">
        <w:rPr>
          <w:rFonts w:eastAsia="SimSun"/>
          <w:lang w:val="en-GB" w:bidi="ar-SA"/>
        </w:rPr>
        <w:t xml:space="preserve">quired to grant licenses of </w:t>
      </w:r>
      <w:r w:rsidR="00FA4C9D" w:rsidRPr="00844C55">
        <w:rPr>
          <w:rFonts w:eastAsia="SimSun"/>
          <w:lang w:val="en-GB" w:bidi="ar-SA"/>
        </w:rPr>
        <w:t xml:space="preserve">relevant </w:t>
      </w:r>
      <w:r w:rsidR="00606FCB">
        <w:rPr>
          <w:rFonts w:eastAsia="SimSun"/>
          <w:lang w:val="en-GB" w:bidi="ar-SA"/>
        </w:rPr>
        <w:t xml:space="preserve">IPRs </w:t>
      </w:r>
      <w:r w:rsidR="00FA4C9D" w:rsidRPr="00844C55">
        <w:rPr>
          <w:rFonts w:eastAsia="SimSun"/>
          <w:lang w:val="en-GB" w:bidi="ar-SA"/>
        </w:rPr>
        <w:t xml:space="preserve">to the buyer. </w:t>
      </w:r>
      <w:r w:rsidR="006D447F">
        <w:rPr>
          <w:rFonts w:eastAsia="SimSun"/>
          <w:lang w:val="en-GB" w:bidi="ar-SA"/>
        </w:rPr>
        <w:t xml:space="preserve">Compulsory licensing is </w:t>
      </w:r>
      <w:r w:rsidR="00187478" w:rsidRPr="00844C55">
        <w:rPr>
          <w:rFonts w:eastAsia="SimSun"/>
          <w:lang w:val="en-GB" w:bidi="ar-SA"/>
        </w:rPr>
        <w:t xml:space="preserve">like a supporting role in the “play” of divestiture. The effect of the compulsory licences would, with no doubt, affect the effectiveness of the divestiture. </w:t>
      </w:r>
      <w:r w:rsidR="00F12258" w:rsidRPr="00844C55">
        <w:rPr>
          <w:rFonts w:eastAsia="SimSun"/>
          <w:lang w:val="en-GB" w:bidi="ar-SA"/>
        </w:rPr>
        <w:t xml:space="preserve">For instance, in </w:t>
      </w:r>
      <w:r w:rsidR="00F12258" w:rsidRPr="00844C55">
        <w:rPr>
          <w:i/>
          <w:lang w:val="en-GB"/>
        </w:rPr>
        <w:t>AIR LIQUIDE / BOC</w:t>
      </w:r>
      <w:r w:rsidR="00F12258" w:rsidRPr="00844C55">
        <w:rPr>
          <w:rFonts w:eastAsia="SimSun"/>
          <w:i/>
          <w:lang w:val="en-GB"/>
        </w:rPr>
        <w:t>,</w:t>
      </w:r>
      <w:r w:rsidR="00F12258" w:rsidRPr="00844C55">
        <w:rPr>
          <w:lang w:val="en-GB"/>
        </w:rPr>
        <w:t xml:space="preserve"> </w:t>
      </w:r>
      <w:r w:rsidR="00F12258" w:rsidRPr="00844C55">
        <w:rPr>
          <w:rFonts w:eastAsia="SimSun"/>
          <w:lang w:val="en-GB"/>
        </w:rPr>
        <w:t xml:space="preserve">the parties undertook to divest </w:t>
      </w:r>
      <w:r w:rsidR="00F12258" w:rsidRPr="00844C55">
        <w:rPr>
          <w:rFonts w:ascii="TimesNewRoman" w:hAnsi="TimesNewRoman" w:cs="TimesNewRoman"/>
          <w:szCs w:val="24"/>
          <w:lang w:val="en-GB" w:bidi="ar-SA"/>
        </w:rPr>
        <w:t xml:space="preserve">the </w:t>
      </w:r>
      <w:proofErr w:type="spellStart"/>
      <w:r w:rsidR="00F12258" w:rsidRPr="00844C55">
        <w:rPr>
          <w:rFonts w:ascii="TimesNewRoman" w:hAnsi="TimesNewRoman" w:cs="TimesNewRoman"/>
          <w:szCs w:val="24"/>
          <w:lang w:val="en-GB" w:bidi="ar-SA"/>
        </w:rPr>
        <w:t>transfill</w:t>
      </w:r>
      <w:proofErr w:type="spellEnd"/>
      <w:r w:rsidR="00F12258" w:rsidRPr="00844C55">
        <w:rPr>
          <w:rFonts w:ascii="TimesNewRoman" w:hAnsi="TimesNewRoman" w:cs="TimesNewRoman"/>
          <w:szCs w:val="24"/>
          <w:lang w:val="en-GB" w:bidi="ar-SA"/>
        </w:rPr>
        <w:t xml:space="preserve"> facility for electronic speciality gases owned</w:t>
      </w:r>
      <w:r w:rsidR="00F12258" w:rsidRPr="00844C55">
        <w:rPr>
          <w:rFonts w:ascii="TimesNewRoman" w:eastAsia="SimSun" w:hAnsi="TimesNewRoman" w:cs="TimesNewRoman"/>
          <w:szCs w:val="24"/>
          <w:lang w:val="en-GB" w:bidi="ar-SA"/>
        </w:rPr>
        <w:t xml:space="preserve"> </w:t>
      </w:r>
      <w:r w:rsidR="00F12258" w:rsidRPr="00844C55">
        <w:rPr>
          <w:rFonts w:ascii="TimesNewRoman" w:hAnsi="TimesNewRoman" w:cs="TimesNewRoman"/>
          <w:szCs w:val="24"/>
          <w:lang w:val="en-GB" w:bidi="ar-SA"/>
        </w:rPr>
        <w:t xml:space="preserve">and operated by Air </w:t>
      </w:r>
      <w:proofErr w:type="spellStart"/>
      <w:r w:rsidR="00F12258" w:rsidRPr="00844C55">
        <w:rPr>
          <w:rFonts w:ascii="TimesNewRoman" w:hAnsi="TimesNewRoman" w:cs="TimesNewRoman"/>
          <w:szCs w:val="24"/>
          <w:lang w:val="en-GB" w:bidi="ar-SA"/>
        </w:rPr>
        <w:t>Liquide</w:t>
      </w:r>
      <w:proofErr w:type="spellEnd"/>
      <w:r w:rsidR="00F12258" w:rsidRPr="00844C55">
        <w:rPr>
          <w:rFonts w:ascii="TimesNewRoman" w:hAnsi="TimesNewRoman" w:cs="TimesNewRoman"/>
          <w:szCs w:val="24"/>
          <w:lang w:val="en-GB" w:bidi="ar-SA"/>
        </w:rPr>
        <w:t xml:space="preserve"> in France together with a licence of the</w:t>
      </w:r>
      <w:r w:rsidR="00F12258" w:rsidRPr="00844C55">
        <w:rPr>
          <w:rFonts w:ascii="TimesNewRoman" w:eastAsia="SimSun" w:hAnsi="TimesNewRoman" w:cs="TimesNewRoman"/>
          <w:szCs w:val="24"/>
          <w:lang w:val="en-GB" w:bidi="ar-SA"/>
        </w:rPr>
        <w:t xml:space="preserve"> </w:t>
      </w:r>
      <w:r w:rsidR="00F12258" w:rsidRPr="00844C55">
        <w:rPr>
          <w:rFonts w:ascii="TimesNewRoman" w:hAnsi="TimesNewRoman" w:cs="TimesNewRoman"/>
          <w:szCs w:val="24"/>
          <w:lang w:val="en-GB" w:bidi="ar-SA"/>
        </w:rPr>
        <w:t xml:space="preserve">technology necessary to operate the </w:t>
      </w:r>
      <w:proofErr w:type="spellStart"/>
      <w:r w:rsidR="00F12258" w:rsidRPr="00844C55">
        <w:rPr>
          <w:rFonts w:ascii="TimesNewRoman" w:hAnsi="TimesNewRoman" w:cs="TimesNewRoman"/>
          <w:szCs w:val="24"/>
          <w:lang w:val="en-GB" w:bidi="ar-SA"/>
        </w:rPr>
        <w:t>transfill</w:t>
      </w:r>
      <w:proofErr w:type="spellEnd"/>
      <w:r w:rsidR="00F12258" w:rsidRPr="00844C55">
        <w:rPr>
          <w:rFonts w:ascii="TimesNewRoman" w:hAnsi="TimesNewRoman" w:cs="TimesNewRoman"/>
          <w:szCs w:val="24"/>
          <w:lang w:val="en-GB" w:bidi="ar-SA"/>
        </w:rPr>
        <w:t xml:space="preserve"> </w:t>
      </w:r>
      <w:r w:rsidR="00F12258" w:rsidRPr="00844C55">
        <w:rPr>
          <w:rFonts w:ascii="TimesNewRoman" w:hAnsi="TimesNewRoman" w:cs="TimesNewRoman"/>
          <w:szCs w:val="24"/>
          <w:lang w:val="en-GB" w:bidi="ar-SA"/>
        </w:rPr>
        <w:lastRenderedPageBreak/>
        <w:t>plant</w:t>
      </w:r>
      <w:r w:rsidR="00F12258" w:rsidRPr="00844C55">
        <w:rPr>
          <w:rFonts w:ascii="TimesNewRoman" w:eastAsia="SimSun" w:hAnsi="TimesNewRoman" w:cs="TimesNewRoman"/>
          <w:szCs w:val="24"/>
          <w:lang w:val="en-GB" w:bidi="ar-SA"/>
        </w:rPr>
        <w:t xml:space="preserve">, </w:t>
      </w:r>
      <w:r w:rsidR="00F12258" w:rsidRPr="00844C55">
        <w:rPr>
          <w:rFonts w:ascii="TimesNewRoman" w:hAnsi="TimesNewRoman" w:cs="TimesNewRoman"/>
          <w:szCs w:val="24"/>
          <w:lang w:val="en-GB" w:bidi="ar-SA"/>
        </w:rPr>
        <w:t>all relevant customer</w:t>
      </w:r>
      <w:r w:rsidR="00F12258" w:rsidRPr="00844C55">
        <w:rPr>
          <w:rFonts w:ascii="TimesNewRoman" w:eastAsia="SimSun" w:hAnsi="TimesNewRoman" w:cs="TimesNewRoman"/>
          <w:szCs w:val="24"/>
          <w:lang w:val="en-GB" w:bidi="ar-SA"/>
        </w:rPr>
        <w:t xml:space="preserve"> </w:t>
      </w:r>
      <w:r w:rsidR="00F12258" w:rsidRPr="00844C55">
        <w:rPr>
          <w:rFonts w:ascii="TimesNewRoman" w:hAnsi="TimesNewRoman" w:cs="TimesNewRoman"/>
          <w:szCs w:val="24"/>
          <w:lang w:val="en-GB" w:bidi="ar-SA"/>
        </w:rPr>
        <w:t>information and current purchase orders.</w:t>
      </w:r>
      <w:r w:rsidR="00F12258" w:rsidRPr="00844C55">
        <w:rPr>
          <w:rFonts w:ascii="TimesNewRoman" w:eastAsia="SimSun" w:hAnsi="TimesNewRoman" w:cs="TimesNewRoman"/>
          <w:szCs w:val="24"/>
          <w:lang w:val="en-GB" w:bidi="ar-SA"/>
        </w:rPr>
        <w:t xml:space="preserve"> The Commission accepted the divestiture </w:t>
      </w:r>
      <w:r w:rsidR="00C0446A" w:rsidRPr="00844C55">
        <w:rPr>
          <w:rFonts w:ascii="TimesNewRoman" w:eastAsia="SimSun" w:hAnsi="TimesNewRoman" w:cs="TimesNewRoman"/>
          <w:szCs w:val="24"/>
          <w:lang w:val="en-GB" w:bidi="ar-SA"/>
        </w:rPr>
        <w:t xml:space="preserve">as with help of the licence, customer information and purchase orders, the divestiture could remove the competition concern on the market of </w:t>
      </w:r>
      <w:r w:rsidR="00C0446A" w:rsidRPr="00844C55">
        <w:rPr>
          <w:rFonts w:ascii="TimesNewRoman" w:hAnsi="TimesNewRoman" w:cs="TimesNewRoman"/>
          <w:szCs w:val="24"/>
          <w:lang w:val="en-GB" w:bidi="ar-SA"/>
        </w:rPr>
        <w:t>electronic speciality gases</w:t>
      </w:r>
      <w:r w:rsidR="00C0446A" w:rsidRPr="00844C55">
        <w:rPr>
          <w:rFonts w:ascii="TimesNewRoman" w:eastAsia="SimSun" w:hAnsi="TimesNewRoman" w:cs="TimesNewRoman"/>
          <w:szCs w:val="24"/>
          <w:lang w:val="en-GB" w:bidi="ar-SA"/>
        </w:rPr>
        <w:t xml:space="preserve">. </w:t>
      </w:r>
    </w:p>
    <w:p w:rsidR="00193C17" w:rsidRPr="00844C55" w:rsidRDefault="00C0407D" w:rsidP="00043EDC">
      <w:pPr>
        <w:pStyle w:val="Heading3"/>
        <w:rPr>
          <w:rFonts w:eastAsia="SimSun"/>
          <w:lang w:val="en-GB"/>
        </w:rPr>
      </w:pPr>
      <w:r>
        <w:rPr>
          <w:rFonts w:eastAsia="SimSun"/>
          <w:lang w:val="en-GB"/>
        </w:rPr>
        <w:t>Alternative</w:t>
      </w:r>
      <w:r w:rsidR="00043EDC" w:rsidRPr="00844C55">
        <w:rPr>
          <w:rFonts w:eastAsia="SimSun"/>
          <w:lang w:val="en-GB"/>
        </w:rPr>
        <w:t xml:space="preserve"> to Divestiture</w:t>
      </w:r>
    </w:p>
    <w:p w:rsidR="001A5793" w:rsidRPr="00844C55" w:rsidRDefault="003C0B31" w:rsidP="007531A9">
      <w:pPr>
        <w:rPr>
          <w:rFonts w:eastAsia="SimSun"/>
          <w:lang w:val="en-GB" w:bidi="ar-SA"/>
        </w:rPr>
      </w:pPr>
      <w:r w:rsidRPr="00844C55">
        <w:rPr>
          <w:rFonts w:eastAsia="SimSun"/>
          <w:lang w:val="en-GB" w:bidi="ar-SA"/>
        </w:rPr>
        <w:t xml:space="preserve">According to the Commission, divestiture is generally preferable to compulsory licensing because the latter </w:t>
      </w:r>
      <w:r w:rsidRPr="00844C55">
        <w:rPr>
          <w:lang w:val="en-GB" w:bidi="ar-SA"/>
        </w:rPr>
        <w:t>involves some uncertainties regarding to its ability to dissolve the competition concerns, e.g. weakening the licensees’ competitive power, allowing the merged entity to have an on-going influence on the licensees, and giving rise to potential disputes on the licence provisions.</w:t>
      </w:r>
      <w:r w:rsidRPr="00844C55">
        <w:rPr>
          <w:rStyle w:val="FootnoteReference"/>
          <w:lang w:val="en-GB" w:bidi="ar-SA"/>
        </w:rPr>
        <w:t xml:space="preserve"> </w:t>
      </w:r>
      <w:r w:rsidRPr="00844C55">
        <w:rPr>
          <w:rStyle w:val="FootnoteReference"/>
          <w:lang w:val="en-GB" w:bidi="ar-SA"/>
        </w:rPr>
        <w:footnoteReference w:id="63"/>
      </w:r>
      <w:r w:rsidR="001A5793" w:rsidRPr="00844C55">
        <w:rPr>
          <w:rFonts w:eastAsia="SimSun"/>
          <w:lang w:val="en-GB" w:bidi="ar-SA"/>
        </w:rPr>
        <w:t xml:space="preserve"> The </w:t>
      </w:r>
      <w:r w:rsidR="006D447F">
        <w:rPr>
          <w:rFonts w:eastAsia="SimSun" w:hint="eastAsia"/>
          <w:lang w:val="en-GB" w:bidi="ar-SA"/>
        </w:rPr>
        <w:t xml:space="preserve">compulsory </w:t>
      </w:r>
      <w:r w:rsidR="001A5793" w:rsidRPr="00844C55">
        <w:rPr>
          <w:rFonts w:eastAsia="SimSun"/>
          <w:lang w:val="en-GB" w:bidi="ar-SA"/>
        </w:rPr>
        <w:t xml:space="preserve">licences are expected to enable the licensees to compete </w:t>
      </w:r>
      <w:r w:rsidR="0012623A" w:rsidRPr="00844C55">
        <w:rPr>
          <w:rFonts w:eastAsia="SimSun"/>
          <w:lang w:val="en-GB" w:bidi="ar-SA"/>
        </w:rPr>
        <w:t xml:space="preserve">as </w:t>
      </w:r>
      <w:r w:rsidR="001A5793" w:rsidRPr="00844C55">
        <w:rPr>
          <w:rFonts w:eastAsia="SimSun"/>
          <w:lang w:val="en-GB" w:bidi="ar-SA"/>
        </w:rPr>
        <w:t>effectively as a buyer of divested assets</w:t>
      </w:r>
      <w:r w:rsidR="0012623A" w:rsidRPr="00844C55">
        <w:rPr>
          <w:rFonts w:eastAsia="SimSun"/>
          <w:lang w:val="en-GB" w:bidi="ar-SA"/>
        </w:rPr>
        <w:t xml:space="preserve"> may</w:t>
      </w:r>
      <w:r w:rsidR="001A5793" w:rsidRPr="00844C55">
        <w:rPr>
          <w:rFonts w:eastAsia="SimSun"/>
          <w:lang w:val="en-GB" w:bidi="ar-SA"/>
        </w:rPr>
        <w:t xml:space="preserve">. </w:t>
      </w:r>
      <w:r w:rsidR="005E3EC8" w:rsidRPr="00844C55">
        <w:rPr>
          <w:rFonts w:eastAsia="SimSun"/>
          <w:lang w:val="en-GB" w:bidi="ar-SA"/>
        </w:rPr>
        <w:t>Hence,</w:t>
      </w:r>
      <w:r w:rsidR="0012623A" w:rsidRPr="00844C55">
        <w:rPr>
          <w:rFonts w:eastAsia="SimSun"/>
          <w:lang w:val="en-GB" w:bidi="ar-SA"/>
        </w:rPr>
        <w:t xml:space="preserve"> the </w:t>
      </w:r>
      <w:r w:rsidR="00B75BED">
        <w:rPr>
          <w:rFonts w:eastAsia="SimSun"/>
          <w:lang w:val="en-GB" w:bidi="ar-SA"/>
        </w:rPr>
        <w:t>compulsory</w:t>
      </w:r>
      <w:r w:rsidR="00B75BED">
        <w:rPr>
          <w:rFonts w:eastAsia="SimSun" w:hint="eastAsia"/>
          <w:lang w:val="en-GB" w:bidi="ar-SA"/>
        </w:rPr>
        <w:t xml:space="preserve"> </w:t>
      </w:r>
      <w:r w:rsidR="0012623A" w:rsidRPr="00844C55">
        <w:rPr>
          <w:rFonts w:eastAsia="SimSun"/>
          <w:lang w:val="en-GB" w:bidi="ar-SA"/>
        </w:rPr>
        <w:t xml:space="preserve">licences in substitution to divestiture will contain more favourable terms to the licensees, such as exclusive licensing, royalty-free. </w:t>
      </w:r>
      <w:r w:rsidR="001A5793" w:rsidRPr="00844C55">
        <w:rPr>
          <w:rFonts w:eastAsia="SimSun"/>
          <w:lang w:val="en-GB" w:bidi="ar-SA"/>
        </w:rPr>
        <w:t xml:space="preserve"> In </w:t>
      </w:r>
      <w:r w:rsidR="001A5793" w:rsidRPr="00844C55">
        <w:rPr>
          <w:i/>
          <w:lang w:val="en-GB" w:bidi="ar-SA"/>
        </w:rPr>
        <w:t>APOLLO / BAKELITE</w:t>
      </w:r>
      <w:r w:rsidR="001A5793" w:rsidRPr="00844C55">
        <w:rPr>
          <w:rStyle w:val="FootnoteReference"/>
          <w:lang w:val="en-GB" w:bidi="ar-SA"/>
        </w:rPr>
        <w:footnoteReference w:id="64"/>
      </w:r>
      <w:r w:rsidR="001A5793" w:rsidRPr="00844C55">
        <w:rPr>
          <w:rFonts w:eastAsia="SimSun"/>
          <w:lang w:val="en-GB" w:bidi="ar-SA"/>
        </w:rPr>
        <w:t xml:space="preserve">, </w:t>
      </w:r>
      <w:r w:rsidR="00E25887" w:rsidRPr="00844C55">
        <w:rPr>
          <w:rFonts w:eastAsia="SimSun"/>
          <w:lang w:val="en-GB" w:bidi="ar-SA"/>
        </w:rPr>
        <w:t xml:space="preserve">the Commission approved a compulsory licensing remedy for the concern regarding the market of carbon bonded refractory materials. According to the Commission, it would prefer a structural remedy to a behavioural one, but it was not possible to find a suitable divestiture due to the demand-supply structure of that market. </w:t>
      </w:r>
      <w:r w:rsidR="002D5EC6" w:rsidRPr="00844C55">
        <w:rPr>
          <w:rFonts w:eastAsia="SimSun"/>
          <w:lang w:val="en-GB" w:bidi="ar-SA"/>
        </w:rPr>
        <w:t xml:space="preserve">The parties committed to grant respectively a royalty-free licence of technology </w:t>
      </w:r>
      <w:r w:rsidR="005871CA" w:rsidRPr="00844C55">
        <w:rPr>
          <w:rFonts w:eastAsia="SimSun"/>
          <w:lang w:val="en-GB" w:bidi="ar-SA"/>
        </w:rPr>
        <w:t xml:space="preserve">package </w:t>
      </w:r>
      <w:r w:rsidR="002D5EC6" w:rsidRPr="00844C55">
        <w:rPr>
          <w:rFonts w:eastAsia="SimSun"/>
          <w:lang w:val="en-GB" w:bidi="ar-SA"/>
        </w:rPr>
        <w:t xml:space="preserve">to </w:t>
      </w:r>
      <w:r w:rsidR="005871CA" w:rsidRPr="00844C55">
        <w:rPr>
          <w:rFonts w:eastAsia="SimSun"/>
          <w:lang w:val="en-GB" w:bidi="ar-SA"/>
        </w:rPr>
        <w:t xml:space="preserve">every customer of </w:t>
      </w:r>
      <w:r w:rsidR="005871CA" w:rsidRPr="00844C55">
        <w:rPr>
          <w:rFonts w:ascii="TimesNewRoman" w:hAnsi="TimesNewRoman" w:cs="TimesNewRoman"/>
          <w:szCs w:val="24"/>
          <w:lang w:val="en-GB" w:bidi="ar-SA"/>
        </w:rPr>
        <w:t>Borden or Bakelite</w:t>
      </w:r>
      <w:r w:rsidR="002D5EC6" w:rsidRPr="00844C55">
        <w:rPr>
          <w:rFonts w:eastAsia="SimSun"/>
          <w:lang w:val="en-GB" w:bidi="ar-SA"/>
        </w:rPr>
        <w:t>.</w:t>
      </w:r>
      <w:r w:rsidR="000A6AF9" w:rsidRPr="00844C55">
        <w:rPr>
          <w:rFonts w:eastAsia="SimSun"/>
          <w:lang w:val="en-GB" w:bidi="ar-SA"/>
        </w:rPr>
        <w:t xml:space="preserve"> The t</w:t>
      </w:r>
      <w:r w:rsidR="000A6AF9" w:rsidRPr="00844C55">
        <w:rPr>
          <w:rFonts w:ascii="TimesNewRoman" w:hAnsi="TimesNewRoman" w:cs="TimesNewRoman"/>
          <w:szCs w:val="24"/>
          <w:lang w:val="en-GB" w:bidi="ar-SA"/>
        </w:rPr>
        <w:t xml:space="preserve">echnology </w:t>
      </w:r>
      <w:r w:rsidR="000A6AF9" w:rsidRPr="00844C55">
        <w:rPr>
          <w:rFonts w:ascii="TimesNewRoman" w:eastAsia="SimSun" w:hAnsi="TimesNewRoman" w:cs="TimesNewRoman"/>
          <w:szCs w:val="24"/>
          <w:lang w:val="en-GB" w:bidi="ar-SA"/>
        </w:rPr>
        <w:t>p</w:t>
      </w:r>
      <w:r w:rsidR="007531A9" w:rsidRPr="00844C55">
        <w:rPr>
          <w:rFonts w:ascii="TimesNewRoman" w:hAnsi="TimesNewRoman" w:cs="TimesNewRoman"/>
          <w:szCs w:val="24"/>
          <w:lang w:val="en-GB" w:bidi="ar-SA"/>
        </w:rPr>
        <w:t xml:space="preserve">ackage </w:t>
      </w:r>
      <w:r w:rsidR="000A6AF9" w:rsidRPr="00844C55">
        <w:rPr>
          <w:rFonts w:ascii="TimesNewRoman" w:eastAsia="SimSun" w:hAnsi="TimesNewRoman" w:cs="TimesNewRoman"/>
          <w:szCs w:val="24"/>
          <w:lang w:val="en-GB" w:bidi="ar-SA"/>
        </w:rPr>
        <w:t>should</w:t>
      </w:r>
      <w:r w:rsidR="007531A9" w:rsidRPr="00844C55">
        <w:rPr>
          <w:rFonts w:ascii="TimesNewRoman" w:hAnsi="TimesNewRoman" w:cs="TimesNewRoman"/>
          <w:szCs w:val="24"/>
          <w:lang w:val="en-GB" w:bidi="ar-SA"/>
        </w:rPr>
        <w:t xml:space="preserve"> contain the recipes and manufacturing</w:t>
      </w:r>
      <w:r w:rsidR="007531A9" w:rsidRPr="00844C55">
        <w:rPr>
          <w:rFonts w:ascii="TimesNewRoman" w:eastAsia="SimSun" w:hAnsi="TimesNewRoman" w:cs="TimesNewRoman"/>
          <w:szCs w:val="24"/>
          <w:lang w:val="en-GB" w:bidi="ar-SA"/>
        </w:rPr>
        <w:t xml:space="preserve"> </w:t>
      </w:r>
      <w:r w:rsidR="007531A9" w:rsidRPr="00844C55">
        <w:rPr>
          <w:rFonts w:ascii="TimesNewRoman" w:hAnsi="TimesNewRoman" w:cs="TimesNewRoman"/>
          <w:szCs w:val="24"/>
          <w:lang w:val="en-GB" w:bidi="ar-SA"/>
        </w:rPr>
        <w:t>instructions necessary to produce the Customer Licensed Products existing as of</w:t>
      </w:r>
      <w:r w:rsidR="007531A9" w:rsidRPr="00844C55">
        <w:rPr>
          <w:rFonts w:ascii="TimesNewRoman" w:eastAsia="SimSun" w:hAnsi="TimesNewRoman" w:cs="TimesNewRoman"/>
          <w:szCs w:val="24"/>
          <w:lang w:val="en-GB" w:bidi="ar-SA"/>
        </w:rPr>
        <w:t xml:space="preserve"> </w:t>
      </w:r>
      <w:r w:rsidR="007531A9" w:rsidRPr="00844C55">
        <w:rPr>
          <w:rFonts w:ascii="TimesNewRoman" w:hAnsi="TimesNewRoman" w:cs="TimesNewRoman"/>
          <w:szCs w:val="24"/>
          <w:lang w:val="en-GB" w:bidi="ar-SA"/>
        </w:rPr>
        <w:t>the date the License is granted.</w:t>
      </w:r>
    </w:p>
    <w:p w:rsidR="00A17B43" w:rsidRPr="00844C55" w:rsidRDefault="0038054D" w:rsidP="00B809F2">
      <w:pPr>
        <w:pStyle w:val="Heading3"/>
        <w:rPr>
          <w:lang w:val="en-GB" w:bidi="ar-SA"/>
        </w:rPr>
      </w:pPr>
      <w:r w:rsidRPr="00844C55">
        <w:rPr>
          <w:rFonts w:eastAsia="SimSun"/>
          <w:lang w:val="en-GB" w:bidi="ar-SA"/>
        </w:rPr>
        <w:t>Stand-alone</w:t>
      </w:r>
    </w:p>
    <w:p w:rsidR="001E1B38" w:rsidRPr="00844C55" w:rsidRDefault="004A7153" w:rsidP="001E1B38">
      <w:pPr>
        <w:rPr>
          <w:rFonts w:eastAsia="SimSun"/>
          <w:lang w:val="en-GB" w:bidi="ar-SA"/>
        </w:rPr>
      </w:pPr>
      <w:r w:rsidRPr="00844C55">
        <w:rPr>
          <w:rFonts w:eastAsia="SimSun"/>
          <w:lang w:val="en-GB" w:bidi="ar-SA"/>
        </w:rPr>
        <w:t xml:space="preserve">Compulsory licensing </w:t>
      </w:r>
      <w:r w:rsidR="00583511" w:rsidRPr="00844C55">
        <w:rPr>
          <w:rFonts w:eastAsia="SimSun"/>
          <w:lang w:val="en-GB" w:bidi="ar-SA"/>
        </w:rPr>
        <w:t>is suitable for the competition concern of foreclosure which is caused by the control of certain IP rights. An appropriate licence should</w:t>
      </w:r>
      <w:r w:rsidR="00583511" w:rsidRPr="00844C55">
        <w:rPr>
          <w:lang w:val="en-GB" w:bidi="ar-SA"/>
        </w:rPr>
        <w:t xml:space="preserve"> provid</w:t>
      </w:r>
      <w:r w:rsidR="00583511" w:rsidRPr="00844C55">
        <w:rPr>
          <w:rFonts w:eastAsia="SimSun"/>
          <w:lang w:val="en-GB" w:bidi="ar-SA"/>
        </w:rPr>
        <w:t>e</w:t>
      </w:r>
      <w:r w:rsidR="001E1B38" w:rsidRPr="00844C55">
        <w:rPr>
          <w:lang w:val="en-GB" w:bidi="ar-SA"/>
        </w:rPr>
        <w:t xml:space="preserve"> with the requisite degree of certainty that it will be implemented. The key element is the extent to which, if at all, any material link between licensor and licensee will exist post licence. </w:t>
      </w:r>
    </w:p>
    <w:p w:rsidR="005860A9" w:rsidRPr="00844C55" w:rsidRDefault="00C738EA" w:rsidP="00106B10">
      <w:pPr>
        <w:rPr>
          <w:rFonts w:eastAsia="SimSun"/>
          <w:lang w:val="en-GB" w:bidi="ar-SA"/>
        </w:rPr>
      </w:pPr>
      <w:r w:rsidRPr="00844C55">
        <w:rPr>
          <w:rFonts w:eastAsia="SimSun"/>
          <w:lang w:val="en-GB"/>
        </w:rPr>
        <w:t xml:space="preserve">In </w:t>
      </w:r>
      <w:r w:rsidRPr="00844C55">
        <w:rPr>
          <w:rFonts w:eastAsia="Times New Roman" w:cs="Times New Roman"/>
          <w:i/>
          <w:lang w:val="en-GB"/>
        </w:rPr>
        <w:t>HOFFMANN - LA ROCHE / BOEHRINGER MANNHEIM</w:t>
      </w:r>
      <w:r w:rsidRPr="00844C55">
        <w:rPr>
          <w:rFonts w:eastAsia="SimSun"/>
          <w:i/>
          <w:lang w:val="en-GB"/>
        </w:rPr>
        <w:t xml:space="preserve">, </w:t>
      </w:r>
      <w:r w:rsidRPr="00844C55">
        <w:rPr>
          <w:rFonts w:eastAsia="SimSun"/>
          <w:lang w:val="en-GB"/>
        </w:rPr>
        <w:t xml:space="preserve">the Commission </w:t>
      </w:r>
      <w:r w:rsidR="00D716E1" w:rsidRPr="00844C55">
        <w:rPr>
          <w:rFonts w:eastAsia="SimSun"/>
          <w:lang w:val="en-GB"/>
        </w:rPr>
        <w:t>found</w:t>
      </w:r>
      <w:r w:rsidRPr="00844C55">
        <w:rPr>
          <w:rFonts w:eastAsia="SimSun"/>
          <w:lang w:val="en-GB"/>
        </w:rPr>
        <w:t xml:space="preserve"> that </w:t>
      </w:r>
      <w:r w:rsidRPr="00844C55">
        <w:rPr>
          <w:lang w:val="en-GB" w:bidi="ar-SA"/>
        </w:rPr>
        <w:t>Roche had a dominant position in the EEA-wide market for</w:t>
      </w:r>
      <w:r w:rsidRPr="00844C55">
        <w:rPr>
          <w:rFonts w:eastAsia="SimSun"/>
          <w:lang w:val="en-GB" w:bidi="ar-SA"/>
        </w:rPr>
        <w:t xml:space="preserve"> </w:t>
      </w:r>
      <w:r w:rsidRPr="00844C55">
        <w:rPr>
          <w:lang w:val="en-GB" w:bidi="ar-SA"/>
        </w:rPr>
        <w:t>DNA probes mainly resulting from Roche's high market shares</w:t>
      </w:r>
      <w:r w:rsidR="00065239" w:rsidRPr="00844C55">
        <w:rPr>
          <w:lang w:val="en-GB" w:bidi="ar-SA"/>
        </w:rPr>
        <w:t xml:space="preserve">. Roche offered </w:t>
      </w:r>
      <w:r w:rsidR="00631C7F" w:rsidRPr="00844C55">
        <w:rPr>
          <w:rFonts w:eastAsia="SimSun"/>
          <w:lang w:val="en-GB" w:bidi="ar-SA"/>
        </w:rPr>
        <w:t>to license</w:t>
      </w:r>
      <w:r w:rsidR="00065239" w:rsidRPr="00844C55">
        <w:rPr>
          <w:lang w:val="en-GB" w:bidi="ar-SA"/>
        </w:rPr>
        <w:t xml:space="preserve"> </w:t>
      </w:r>
      <w:r w:rsidR="00631C7F" w:rsidRPr="00844C55">
        <w:rPr>
          <w:lang w:val="en-GB" w:bidi="ar-SA"/>
        </w:rPr>
        <w:t>the PCR technology</w:t>
      </w:r>
      <w:r w:rsidR="00631C7F" w:rsidRPr="00844C55">
        <w:rPr>
          <w:rFonts w:eastAsia="SimSun"/>
          <w:lang w:val="en-GB" w:bidi="ar-SA"/>
        </w:rPr>
        <w:t xml:space="preserve"> under</w:t>
      </w:r>
      <w:r w:rsidR="00631C7F" w:rsidRPr="00844C55">
        <w:rPr>
          <w:lang w:val="en-GB" w:bidi="ar-SA"/>
        </w:rPr>
        <w:t xml:space="preserve"> </w:t>
      </w:r>
      <w:r w:rsidR="00631C7F" w:rsidRPr="00844C55">
        <w:rPr>
          <w:rFonts w:eastAsia="SimSun"/>
          <w:lang w:val="en-GB" w:bidi="ar-SA"/>
        </w:rPr>
        <w:t>“B</w:t>
      </w:r>
      <w:r w:rsidR="00065239" w:rsidRPr="00844C55">
        <w:rPr>
          <w:lang w:val="en-GB" w:bidi="ar-SA"/>
        </w:rPr>
        <w:t>road</w:t>
      </w:r>
      <w:r w:rsidR="00631C7F" w:rsidRPr="00844C55">
        <w:rPr>
          <w:rFonts w:eastAsia="SimSun"/>
          <w:lang w:val="en-GB" w:bidi="ar-SA"/>
        </w:rPr>
        <w:t>” and “Targeted”</w:t>
      </w:r>
      <w:r w:rsidR="00065239" w:rsidRPr="00844C55">
        <w:rPr>
          <w:lang w:val="en-GB" w:bidi="ar-SA"/>
        </w:rPr>
        <w:t xml:space="preserve"> </w:t>
      </w:r>
      <w:r w:rsidR="00631C7F" w:rsidRPr="00844C55">
        <w:rPr>
          <w:rFonts w:eastAsia="SimSun"/>
          <w:lang w:val="en-GB" w:bidi="ar-SA"/>
        </w:rPr>
        <w:t>terms</w:t>
      </w:r>
      <w:r w:rsidR="00065239" w:rsidRPr="00844C55">
        <w:rPr>
          <w:lang w:val="en-GB" w:bidi="ar-SA"/>
        </w:rPr>
        <w:t xml:space="preserve">. </w:t>
      </w:r>
      <w:r w:rsidR="00631C7F" w:rsidRPr="00844C55">
        <w:rPr>
          <w:rFonts w:eastAsia="SimSun"/>
          <w:lang w:val="en-GB" w:bidi="ar-SA"/>
        </w:rPr>
        <w:t>All</w:t>
      </w:r>
      <w:r w:rsidR="00065239" w:rsidRPr="00844C55">
        <w:rPr>
          <w:lang w:val="en-GB" w:bidi="ar-SA"/>
        </w:rPr>
        <w:t xml:space="preserve"> licences </w:t>
      </w:r>
      <w:r w:rsidR="00631C7F" w:rsidRPr="00844C55">
        <w:rPr>
          <w:rFonts w:eastAsia="SimSun"/>
          <w:lang w:val="en-GB" w:bidi="ar-SA"/>
        </w:rPr>
        <w:t xml:space="preserve">should be </w:t>
      </w:r>
      <w:r w:rsidR="00065239" w:rsidRPr="00844C55">
        <w:rPr>
          <w:lang w:val="en-GB" w:bidi="ar-SA"/>
        </w:rPr>
        <w:t xml:space="preserve">given on non-discriminatory terms to all interested third parties a ‘most-favoured-customer’ clause. </w:t>
      </w:r>
      <w:r w:rsidR="00631C7F" w:rsidRPr="00844C55">
        <w:rPr>
          <w:rFonts w:cs="Times New Roman"/>
          <w:szCs w:val="24"/>
          <w:lang w:val="en-GB" w:bidi="ar-SA"/>
        </w:rPr>
        <w:t xml:space="preserve">Roche </w:t>
      </w:r>
      <w:r w:rsidR="00631C7F" w:rsidRPr="00844C55">
        <w:rPr>
          <w:rFonts w:eastAsia="SimSun" w:cs="Times New Roman"/>
          <w:szCs w:val="24"/>
          <w:lang w:val="en-GB" w:bidi="ar-SA"/>
        </w:rPr>
        <w:t xml:space="preserve">also </w:t>
      </w:r>
      <w:r w:rsidR="00631C7F" w:rsidRPr="00844C55">
        <w:rPr>
          <w:rFonts w:cs="Times New Roman"/>
          <w:szCs w:val="24"/>
          <w:lang w:val="en-GB" w:bidi="ar-SA"/>
        </w:rPr>
        <w:t>agreed to</w:t>
      </w:r>
      <w:r w:rsidR="00631C7F" w:rsidRPr="00844C55">
        <w:rPr>
          <w:rFonts w:eastAsia="SimSun" w:cs="Times New Roman"/>
          <w:szCs w:val="24"/>
          <w:lang w:val="en-GB" w:bidi="ar-SA"/>
        </w:rPr>
        <w:t xml:space="preserve"> </w:t>
      </w:r>
      <w:r w:rsidR="00631C7F" w:rsidRPr="00844C55">
        <w:rPr>
          <w:rFonts w:cs="Times New Roman"/>
          <w:szCs w:val="24"/>
          <w:lang w:val="en-GB" w:bidi="ar-SA"/>
        </w:rPr>
        <w:t xml:space="preserve">grant every </w:t>
      </w:r>
      <w:r w:rsidR="00631C7F" w:rsidRPr="00844C55">
        <w:rPr>
          <w:rFonts w:cs="Times New Roman"/>
          <w:szCs w:val="24"/>
          <w:lang w:val="en-GB" w:bidi="ar-SA"/>
        </w:rPr>
        <w:lastRenderedPageBreak/>
        <w:t>licensee a license on the future PCR patents.</w:t>
      </w:r>
      <w:r w:rsidR="00631C7F" w:rsidRPr="00844C55">
        <w:rPr>
          <w:lang w:val="en-GB" w:bidi="ar-SA"/>
        </w:rPr>
        <w:t xml:space="preserve"> </w:t>
      </w:r>
      <w:r w:rsidR="00065239" w:rsidRPr="00844C55">
        <w:rPr>
          <w:lang w:val="en-GB" w:bidi="ar-SA"/>
        </w:rPr>
        <w:t>A trustee</w:t>
      </w:r>
      <w:r w:rsidR="00631C7F" w:rsidRPr="00844C55">
        <w:rPr>
          <w:rFonts w:eastAsia="SimSun"/>
          <w:lang w:val="en-GB" w:bidi="ar-SA"/>
        </w:rPr>
        <w:t xml:space="preserve"> was appointed to ensure that every licence was in compliance with the </w:t>
      </w:r>
      <w:r w:rsidR="005860A9" w:rsidRPr="00844C55">
        <w:rPr>
          <w:rFonts w:eastAsia="SimSun"/>
          <w:lang w:val="en-GB" w:bidi="ar-SA"/>
        </w:rPr>
        <w:t xml:space="preserve">commitments. </w:t>
      </w:r>
      <w:r w:rsidR="007D04CE" w:rsidRPr="00844C55">
        <w:rPr>
          <w:rFonts w:eastAsia="SimSun"/>
          <w:lang w:val="en-GB" w:bidi="ar-SA"/>
        </w:rPr>
        <w:t>There was no review clause</w:t>
      </w:r>
      <w:r w:rsidR="00627538" w:rsidRPr="00844C55">
        <w:rPr>
          <w:rFonts w:eastAsia="SimSun"/>
          <w:lang w:val="en-GB" w:bidi="ar-SA"/>
        </w:rPr>
        <w:t xml:space="preserve">, deadline or time framework in the compulsory licensing remedy. </w:t>
      </w:r>
      <w:r w:rsidR="0020450F" w:rsidRPr="00844C55">
        <w:rPr>
          <w:rFonts w:eastAsia="SimSun"/>
          <w:lang w:val="en-GB" w:bidi="ar-SA"/>
        </w:rPr>
        <w:t>In 2008, 10 years later, Roche filed a request to the Commission for the waiver of the commitments</w:t>
      </w:r>
      <w:r w:rsidR="00106B8F" w:rsidRPr="00844C55">
        <w:rPr>
          <w:rFonts w:eastAsia="SimSun"/>
          <w:lang w:val="en-GB" w:bidi="ar-SA"/>
        </w:rPr>
        <w:t xml:space="preserve"> (</w:t>
      </w:r>
      <w:r w:rsidR="00106B8F" w:rsidRPr="00844C55">
        <w:rPr>
          <w:rFonts w:eastAsia="SimSun"/>
          <w:i/>
          <w:lang w:val="en-GB" w:bidi="ar-SA"/>
        </w:rPr>
        <w:t>Roche Waiving</w:t>
      </w:r>
      <w:r w:rsidR="00106B8F" w:rsidRPr="00844C55">
        <w:rPr>
          <w:rFonts w:eastAsia="SimSun"/>
          <w:lang w:val="en-GB" w:bidi="ar-SA"/>
        </w:rPr>
        <w:t xml:space="preserve">), on the ground that Roche’s PCR patents was no longer a barrier to entry because of their expiration, Roche’s dominant position did not get strengthened after the merger and </w:t>
      </w:r>
      <w:r w:rsidR="00106B8F" w:rsidRPr="00844C55">
        <w:rPr>
          <w:rFonts w:cs="Times New Roman"/>
          <w:szCs w:val="24"/>
          <w:lang w:val="en-GB" w:bidi="ar-SA"/>
        </w:rPr>
        <w:t>the scope and cost of the licenses did not reflect the market needs</w:t>
      </w:r>
      <w:r w:rsidR="0020450F" w:rsidRPr="00844C55">
        <w:rPr>
          <w:rFonts w:eastAsia="SimSun"/>
          <w:lang w:val="en-GB" w:bidi="ar-SA"/>
        </w:rPr>
        <w:t>.</w:t>
      </w:r>
      <w:r w:rsidR="0020450F" w:rsidRPr="00844C55">
        <w:rPr>
          <w:rStyle w:val="FootnoteReference"/>
          <w:rFonts w:eastAsia="SimSun"/>
          <w:lang w:val="en-GB" w:bidi="ar-SA"/>
        </w:rPr>
        <w:footnoteReference w:id="65"/>
      </w:r>
      <w:r w:rsidR="0020450F" w:rsidRPr="00844C55">
        <w:rPr>
          <w:rFonts w:eastAsia="SimSun"/>
          <w:lang w:val="en-GB" w:bidi="ar-SA"/>
        </w:rPr>
        <w:t xml:space="preserve"> </w:t>
      </w:r>
      <w:r w:rsidR="00106B10" w:rsidRPr="00844C55">
        <w:rPr>
          <w:rFonts w:eastAsia="SimSun"/>
          <w:lang w:val="en-GB" w:bidi="ar-SA"/>
        </w:rPr>
        <w:t xml:space="preserve">Based on its market research, the Commission granted the waiver inasmuch as the EEA wide DNA probes market has changed significantly and the compulsory licensing remedy has achieved its purpose so that its waiver would </w:t>
      </w:r>
      <w:r w:rsidR="00106B10" w:rsidRPr="00844C55">
        <w:rPr>
          <w:rFonts w:cs="Times New Roman"/>
          <w:szCs w:val="24"/>
          <w:lang w:val="en-GB" w:bidi="ar-SA"/>
        </w:rPr>
        <w:t>have a neutral effect on</w:t>
      </w:r>
      <w:r w:rsidR="00106B10" w:rsidRPr="00844C55">
        <w:rPr>
          <w:rFonts w:eastAsia="SimSun" w:cs="Times New Roman"/>
          <w:szCs w:val="24"/>
          <w:lang w:val="en-GB" w:bidi="ar-SA"/>
        </w:rPr>
        <w:t xml:space="preserve"> </w:t>
      </w:r>
      <w:r w:rsidR="00106B10" w:rsidRPr="00844C55">
        <w:rPr>
          <w:rFonts w:cs="Times New Roman"/>
          <w:szCs w:val="24"/>
          <w:lang w:val="en-GB" w:bidi="ar-SA"/>
        </w:rPr>
        <w:t>the rights of third parties</w:t>
      </w:r>
      <w:r w:rsidR="00106B10" w:rsidRPr="00844C55">
        <w:rPr>
          <w:rFonts w:eastAsia="SimSun" w:cs="Times New Roman"/>
          <w:szCs w:val="24"/>
          <w:lang w:val="en-GB" w:bidi="ar-SA"/>
        </w:rPr>
        <w:t>.</w:t>
      </w:r>
    </w:p>
    <w:p w:rsidR="00A865EA" w:rsidRPr="00844C55" w:rsidRDefault="00A865EA" w:rsidP="00A865EA">
      <w:pPr>
        <w:pStyle w:val="Heading1"/>
        <w:rPr>
          <w:lang w:val="en-GB" w:bidi="ar-SA"/>
        </w:rPr>
      </w:pPr>
      <w:r w:rsidRPr="00844C55">
        <w:rPr>
          <w:lang w:val="en-GB" w:bidi="ar-SA"/>
        </w:rPr>
        <w:t>Discussion</w:t>
      </w:r>
    </w:p>
    <w:p w:rsidR="00464826" w:rsidRPr="00844C55" w:rsidRDefault="004A7C55" w:rsidP="00212CE6">
      <w:pPr>
        <w:pStyle w:val="Heading2"/>
        <w:rPr>
          <w:rFonts w:eastAsia="SimSun"/>
          <w:lang w:val="en-GB" w:bidi="ar-SA"/>
        </w:rPr>
      </w:pPr>
      <w:r>
        <w:rPr>
          <w:rFonts w:eastAsia="SimSun"/>
          <w:lang w:val="en-GB" w:bidi="ar-SA"/>
        </w:rPr>
        <w:t>Caution</w:t>
      </w:r>
      <w:r w:rsidR="00D02691" w:rsidRPr="00844C55">
        <w:rPr>
          <w:rFonts w:eastAsia="SimSun"/>
          <w:lang w:val="en-GB" w:bidi="ar-SA"/>
        </w:rPr>
        <w:t xml:space="preserve"> in the Adoption of Compulsory Licensing</w:t>
      </w:r>
    </w:p>
    <w:p w:rsidR="00F347B4" w:rsidRDefault="006F0D0A" w:rsidP="00843AF6">
      <w:pPr>
        <w:rPr>
          <w:rFonts w:ascii="TimesNewRoman" w:eastAsia="SimSun" w:hAnsi="TimesNewRoman" w:cs="TimesNewRoman"/>
          <w:szCs w:val="24"/>
          <w:lang w:val="en-GB" w:bidi="ar-SA"/>
        </w:rPr>
      </w:pPr>
      <w:r w:rsidRPr="00844C55">
        <w:rPr>
          <w:rFonts w:eastAsia="SimSun" w:cs="Times New Roman"/>
          <w:lang w:val="en-GB"/>
        </w:rPr>
        <w:t xml:space="preserve">Compulsory licensing </w:t>
      </w:r>
      <w:r w:rsidR="00F347B4">
        <w:rPr>
          <w:rFonts w:eastAsia="SimSun" w:cs="Times New Roman" w:hint="eastAsia"/>
          <w:lang w:val="en-GB"/>
        </w:rPr>
        <w:t xml:space="preserve">under Article 102 </w:t>
      </w:r>
      <w:r w:rsidRPr="00844C55">
        <w:rPr>
          <w:rFonts w:eastAsia="SimSun" w:cs="Times New Roman"/>
          <w:lang w:val="en-GB"/>
        </w:rPr>
        <w:t>is always surrounded with disputes. Almost every compulsory licensing case is highly controversial</w:t>
      </w:r>
      <w:r w:rsidR="007C680F" w:rsidRPr="00844C55">
        <w:rPr>
          <w:rFonts w:eastAsia="SimSun" w:cs="Times New Roman"/>
          <w:lang w:val="en-GB"/>
        </w:rPr>
        <w:t xml:space="preserve"> in EU</w:t>
      </w:r>
      <w:r w:rsidRPr="00844C55">
        <w:rPr>
          <w:rFonts w:eastAsia="SimSun" w:cs="Times New Roman"/>
          <w:lang w:val="en-GB"/>
        </w:rPr>
        <w:t xml:space="preserve">, from </w:t>
      </w:r>
      <w:proofErr w:type="spellStart"/>
      <w:r w:rsidRPr="00844C55">
        <w:rPr>
          <w:rFonts w:cs="HNHFGB+TimesNewRoman,Italic"/>
          <w:i/>
          <w:color w:val="000000"/>
          <w:sz w:val="23"/>
          <w:szCs w:val="23"/>
          <w:lang w:val="en-GB"/>
        </w:rPr>
        <w:t>Salora</w:t>
      </w:r>
      <w:proofErr w:type="spellEnd"/>
      <w:r w:rsidRPr="00844C55">
        <w:rPr>
          <w:rFonts w:cs="HNHFGB+TimesNewRoman,Italic"/>
          <w:i/>
          <w:color w:val="000000"/>
          <w:sz w:val="23"/>
          <w:szCs w:val="23"/>
          <w:lang w:val="en-GB"/>
        </w:rPr>
        <w:t xml:space="preserve"> v. IGR Stereo Television</w:t>
      </w:r>
      <w:r w:rsidRPr="00844C55">
        <w:rPr>
          <w:rStyle w:val="FootnoteReference"/>
          <w:rFonts w:cs="HNHFGB+TimesNewRoman,Italic"/>
          <w:i/>
          <w:color w:val="000000"/>
          <w:sz w:val="23"/>
          <w:szCs w:val="23"/>
          <w:lang w:val="en-GB"/>
        </w:rPr>
        <w:footnoteReference w:id="66"/>
      </w:r>
      <w:r w:rsidRPr="00844C55">
        <w:rPr>
          <w:rFonts w:eastAsia="SimSun" w:cs="HNHFGB+TimesNewRoman,Italic"/>
          <w:color w:val="000000"/>
          <w:sz w:val="23"/>
          <w:szCs w:val="23"/>
          <w:lang w:val="en-GB"/>
        </w:rPr>
        <w:t xml:space="preserve"> to </w:t>
      </w:r>
      <w:r w:rsidRPr="00844C55">
        <w:rPr>
          <w:rFonts w:eastAsia="SimSun" w:cs="HNHFGB+TimesNewRoman,Italic"/>
          <w:i/>
          <w:color w:val="000000"/>
          <w:sz w:val="23"/>
          <w:szCs w:val="23"/>
          <w:lang w:val="en-GB"/>
        </w:rPr>
        <w:t>Microsoft</w:t>
      </w:r>
      <w:r w:rsidRPr="00844C55">
        <w:rPr>
          <w:rFonts w:eastAsia="SimSun" w:cs="HNHFGB+TimesNewRoman,Italic"/>
          <w:color w:val="000000"/>
          <w:sz w:val="23"/>
          <w:szCs w:val="23"/>
          <w:lang w:val="en-GB"/>
        </w:rPr>
        <w:t xml:space="preserve">. </w:t>
      </w:r>
      <w:r w:rsidR="00F347B4">
        <w:rPr>
          <w:rFonts w:eastAsia="SimSun" w:hint="eastAsia"/>
          <w:lang w:val="en-GB" w:bidi="ar-SA"/>
        </w:rPr>
        <w:t xml:space="preserve">As </w:t>
      </w:r>
      <w:proofErr w:type="spellStart"/>
      <w:r w:rsidR="00F347B4" w:rsidRPr="00844C55">
        <w:rPr>
          <w:rFonts w:ascii="TimesNewRoman" w:eastAsia="SimSun" w:hAnsi="TimesNewRoman" w:cs="TimesNewRoman"/>
          <w:szCs w:val="24"/>
          <w:lang w:val="en-GB" w:bidi="ar-SA"/>
        </w:rPr>
        <w:t>Maken</w:t>
      </w:r>
      <w:proofErr w:type="spellEnd"/>
      <w:r w:rsidR="00F347B4" w:rsidRPr="00844C55">
        <w:rPr>
          <w:rFonts w:ascii="TimesNewRoman" w:eastAsia="SimSun" w:hAnsi="TimesNewRoman" w:cs="TimesNewRoman"/>
          <w:szCs w:val="24"/>
          <w:lang w:val="en-GB" w:bidi="ar-SA"/>
        </w:rPr>
        <w:t xml:space="preserve"> </w:t>
      </w:r>
      <w:proofErr w:type="spellStart"/>
      <w:r w:rsidR="00F347B4" w:rsidRPr="00844C55">
        <w:rPr>
          <w:rFonts w:ascii="TimesNewRoman" w:eastAsia="SimSun" w:hAnsi="TimesNewRoman" w:cs="TimesNewRoman"/>
          <w:szCs w:val="24"/>
          <w:lang w:val="en-GB" w:bidi="ar-SA"/>
        </w:rPr>
        <w:t>Delrahim</w:t>
      </w:r>
      <w:proofErr w:type="spellEnd"/>
      <w:r w:rsidR="00F347B4">
        <w:rPr>
          <w:rFonts w:ascii="TimesNewRoman" w:eastAsia="SimSun" w:hAnsi="TimesNewRoman" w:cs="TimesNewRoman"/>
          <w:szCs w:val="24"/>
          <w:lang w:val="en-GB" w:bidi="ar-SA"/>
        </w:rPr>
        <w:t xml:space="preserve"> argue</w:t>
      </w:r>
      <w:r w:rsidR="00F347B4">
        <w:rPr>
          <w:rFonts w:ascii="TimesNewRoman" w:eastAsia="SimSun" w:hAnsi="TimesNewRoman" w:cs="TimesNewRoman" w:hint="eastAsia"/>
          <w:szCs w:val="24"/>
          <w:lang w:val="en-GB" w:bidi="ar-SA"/>
        </w:rPr>
        <w:t>d,</w:t>
      </w:r>
      <w:r w:rsidR="00F347B4" w:rsidRPr="00844C55">
        <w:rPr>
          <w:rFonts w:ascii="TimesNewRoman" w:eastAsia="SimSun" w:hAnsi="TimesNewRoman" w:cs="TimesNewRoman"/>
          <w:szCs w:val="24"/>
          <w:lang w:val="en-GB" w:bidi="ar-SA"/>
        </w:rPr>
        <w:t xml:space="preserve"> there are not many controversies on c</w:t>
      </w:r>
      <w:r w:rsidR="00F347B4" w:rsidRPr="00844C55">
        <w:rPr>
          <w:rFonts w:ascii="TimesNewRoman" w:hAnsi="TimesNewRoman" w:cs="TimesNewRoman"/>
          <w:szCs w:val="24"/>
          <w:lang w:val="en-GB" w:bidi="ar-SA"/>
        </w:rPr>
        <w:t xml:space="preserve">ompulsory licensing </w:t>
      </w:r>
      <w:r w:rsidR="00F347B4" w:rsidRPr="00844C55">
        <w:rPr>
          <w:rFonts w:ascii="TimesNewRoman" w:eastAsia="SimSun" w:hAnsi="TimesNewRoman" w:cs="TimesNewRoman"/>
          <w:szCs w:val="24"/>
          <w:lang w:val="en-GB" w:bidi="ar-SA"/>
        </w:rPr>
        <w:t>as</w:t>
      </w:r>
      <w:r w:rsidR="00F347B4" w:rsidRPr="00844C55">
        <w:rPr>
          <w:rFonts w:ascii="TimesNewRoman" w:hAnsi="TimesNewRoman" w:cs="TimesNewRoman"/>
          <w:szCs w:val="24"/>
          <w:lang w:val="en-GB" w:bidi="ar-SA"/>
        </w:rPr>
        <w:t xml:space="preserve"> a</w:t>
      </w:r>
      <w:r w:rsidR="00F347B4" w:rsidRPr="00844C55">
        <w:rPr>
          <w:rFonts w:ascii="TimesNewRoman" w:eastAsia="SimSun" w:hAnsi="TimesNewRoman" w:cs="TimesNewRoman"/>
          <w:szCs w:val="24"/>
          <w:lang w:val="en-GB" w:bidi="ar-SA"/>
        </w:rPr>
        <w:t xml:space="preserve"> </w:t>
      </w:r>
      <w:r w:rsidR="00F347B4" w:rsidRPr="00844C55">
        <w:rPr>
          <w:rFonts w:ascii="TimesNewRoman" w:hAnsi="TimesNewRoman" w:cs="TimesNewRoman"/>
          <w:szCs w:val="24"/>
          <w:lang w:val="en-GB" w:bidi="ar-SA"/>
        </w:rPr>
        <w:t xml:space="preserve">merger </w:t>
      </w:r>
      <w:r w:rsidR="00F347B4" w:rsidRPr="0009771C">
        <w:rPr>
          <w:rFonts w:eastAsia="SimSun"/>
          <w:lang w:val="en-GB"/>
        </w:rPr>
        <w:t>remedy</w:t>
      </w:r>
      <w:r w:rsidR="00F347B4" w:rsidRPr="00844C55">
        <w:rPr>
          <w:rFonts w:ascii="TimesNewRoman" w:eastAsia="SimSun" w:hAnsi="TimesNewRoman" w:cs="TimesNewRoman"/>
          <w:szCs w:val="24"/>
          <w:lang w:val="en-GB" w:bidi="ar-SA"/>
        </w:rPr>
        <w:t xml:space="preserve">, but </w:t>
      </w:r>
      <w:r w:rsidR="00F347B4" w:rsidRPr="00844C55">
        <w:rPr>
          <w:rFonts w:ascii="TimesNewRoman" w:hAnsi="TimesNewRoman" w:cs="TimesNewRoman"/>
          <w:szCs w:val="24"/>
          <w:lang w:val="en-GB" w:bidi="ar-SA"/>
        </w:rPr>
        <w:t xml:space="preserve">in </w:t>
      </w:r>
      <w:r w:rsidR="00F347B4" w:rsidRPr="00844C55">
        <w:rPr>
          <w:rFonts w:ascii="TimesNewRoman" w:eastAsia="SimSun" w:hAnsi="TimesNewRoman" w:cs="TimesNewRoman"/>
          <w:szCs w:val="24"/>
          <w:lang w:val="en-GB" w:bidi="ar-SA"/>
        </w:rPr>
        <w:t>non merger</w:t>
      </w:r>
      <w:r w:rsidR="00F347B4" w:rsidRPr="00844C55">
        <w:rPr>
          <w:rFonts w:ascii="TimesNewRoman" w:hAnsi="TimesNewRoman" w:cs="TimesNewRoman"/>
          <w:szCs w:val="24"/>
          <w:lang w:val="en-GB" w:bidi="ar-SA"/>
        </w:rPr>
        <w:t xml:space="preserve"> cases, compulsory licensing should be </w:t>
      </w:r>
      <w:r w:rsidR="00F347B4" w:rsidRPr="00844C55">
        <w:rPr>
          <w:rFonts w:ascii="TimesNewRoman" w:eastAsia="SimSun" w:hAnsi="TimesNewRoman" w:cs="TimesNewRoman"/>
          <w:szCs w:val="24"/>
          <w:lang w:val="en-GB" w:bidi="ar-SA"/>
        </w:rPr>
        <w:t>“</w:t>
      </w:r>
      <w:r w:rsidR="00F347B4" w:rsidRPr="00844C55">
        <w:rPr>
          <w:rFonts w:ascii="TimesNewRoman" w:hAnsi="TimesNewRoman" w:cs="TimesNewRoman"/>
          <w:szCs w:val="24"/>
          <w:lang w:val="en-GB" w:bidi="ar-SA"/>
        </w:rPr>
        <w:t>a rare</w:t>
      </w:r>
      <w:r w:rsidR="00F347B4" w:rsidRPr="00844C55">
        <w:rPr>
          <w:rFonts w:ascii="TimesNewRoman" w:eastAsia="SimSun" w:hAnsi="TimesNewRoman" w:cs="TimesNewRoman"/>
          <w:szCs w:val="24"/>
          <w:lang w:val="en-GB" w:bidi="ar-SA"/>
        </w:rPr>
        <w:t xml:space="preserve"> </w:t>
      </w:r>
      <w:r w:rsidR="00F347B4" w:rsidRPr="00844C55">
        <w:rPr>
          <w:rFonts w:ascii="TimesNewRoman" w:hAnsi="TimesNewRoman" w:cs="TimesNewRoman"/>
          <w:szCs w:val="24"/>
          <w:lang w:val="en-GB" w:bidi="ar-SA"/>
        </w:rPr>
        <w:t>beast</w:t>
      </w:r>
      <w:r w:rsidR="00F347B4" w:rsidRPr="00844C55">
        <w:rPr>
          <w:rFonts w:ascii="TimesNewRoman" w:eastAsia="SimSun" w:hAnsi="TimesNewRoman" w:cs="TimesNewRoman"/>
          <w:szCs w:val="24"/>
          <w:lang w:val="en-GB" w:bidi="ar-SA"/>
        </w:rPr>
        <w:t>”</w:t>
      </w:r>
      <w:r w:rsidR="00F347B4" w:rsidRPr="00844C55">
        <w:rPr>
          <w:rFonts w:ascii="TimesNewRoman" w:hAnsi="TimesNewRoman" w:cs="TimesNewRoman"/>
          <w:szCs w:val="24"/>
          <w:lang w:val="en-GB" w:bidi="ar-SA"/>
        </w:rPr>
        <w:t>.</w:t>
      </w:r>
      <w:r w:rsidR="00F347B4" w:rsidRPr="00844C55">
        <w:rPr>
          <w:rStyle w:val="FootnoteReference"/>
          <w:rFonts w:ascii="TimesNewRoman" w:hAnsi="TimesNewRoman" w:cs="TimesNewRoman"/>
          <w:szCs w:val="24"/>
          <w:lang w:val="en-GB" w:bidi="ar-SA"/>
        </w:rPr>
        <w:footnoteReference w:id="67"/>
      </w:r>
      <w:r w:rsidR="00F347B4">
        <w:rPr>
          <w:rFonts w:ascii="TimesNewRoman" w:eastAsia="SimSun" w:hAnsi="TimesNewRoman" w:cs="TimesNewRoman" w:hint="eastAsia"/>
          <w:szCs w:val="24"/>
          <w:lang w:val="en-GB" w:bidi="ar-SA"/>
        </w:rPr>
        <w:t xml:space="preserve"> C</w:t>
      </w:r>
      <w:r w:rsidR="00F347B4" w:rsidRPr="00844C55">
        <w:rPr>
          <w:rFonts w:ascii="TimesNewRoman" w:eastAsia="SimSun" w:hAnsi="TimesNewRoman" w:cs="TimesNewRoman"/>
          <w:szCs w:val="24"/>
          <w:lang w:val="en-GB" w:bidi="ar-SA"/>
        </w:rPr>
        <w:t xml:space="preserve">ompulsory licensing arguably </w:t>
      </w:r>
      <w:r w:rsidR="00F347B4" w:rsidRPr="00844C55">
        <w:rPr>
          <w:rFonts w:eastAsia="SimSun"/>
          <w:lang w:val="en-GB" w:bidi="ar-SA"/>
        </w:rPr>
        <w:t xml:space="preserve">should only be chosen as a remedy if there is no less radical measure available in </w:t>
      </w:r>
      <w:r w:rsidR="00F347B4">
        <w:rPr>
          <w:rFonts w:eastAsia="SimSun" w:hint="eastAsia"/>
          <w:lang w:val="en-GB" w:bidi="ar-SA"/>
        </w:rPr>
        <w:t>antitrust</w:t>
      </w:r>
      <w:r w:rsidR="00F347B4" w:rsidRPr="00844C55">
        <w:rPr>
          <w:rFonts w:eastAsia="SimSun"/>
          <w:lang w:val="en-GB" w:bidi="ar-SA"/>
        </w:rPr>
        <w:t xml:space="preserve"> cases. </w:t>
      </w:r>
    </w:p>
    <w:p w:rsidR="005C2874" w:rsidRDefault="00A67435" w:rsidP="00843AF6">
      <w:pPr>
        <w:rPr>
          <w:rFonts w:eastAsia="SimSun" w:cs="Times New Roman"/>
          <w:lang w:val="en-GB"/>
        </w:rPr>
      </w:pPr>
      <w:r w:rsidRPr="00844C55">
        <w:rPr>
          <w:rFonts w:eastAsia="SimSun" w:cs="Times New Roman"/>
          <w:lang w:val="en-GB"/>
        </w:rPr>
        <w:t xml:space="preserve">The Commission </w:t>
      </w:r>
      <w:r w:rsidR="006F0D0A" w:rsidRPr="00844C55">
        <w:rPr>
          <w:rFonts w:eastAsia="SimSun" w:cs="Times New Roman"/>
          <w:lang w:val="en-GB"/>
        </w:rPr>
        <w:t>took very cautious steps when it tried to interrupt</w:t>
      </w:r>
      <w:r w:rsidRPr="00844C55">
        <w:rPr>
          <w:rFonts w:eastAsia="SimSun" w:cs="Times New Roman"/>
          <w:lang w:val="en-GB"/>
        </w:rPr>
        <w:t xml:space="preserve"> the exercise of </w:t>
      </w:r>
      <w:r w:rsidR="00606FCB">
        <w:rPr>
          <w:rFonts w:eastAsia="SimSun" w:cs="Times New Roman"/>
          <w:lang w:val="en-GB"/>
        </w:rPr>
        <w:t xml:space="preserve">IPRs </w:t>
      </w:r>
      <w:r w:rsidR="006A4A65" w:rsidRPr="00844C55">
        <w:rPr>
          <w:rFonts w:eastAsia="SimSun" w:cs="Times New Roman"/>
          <w:lang w:val="en-GB"/>
        </w:rPr>
        <w:t>in the meaning of Article 102</w:t>
      </w:r>
      <w:r w:rsidR="00366214" w:rsidRPr="00844C55">
        <w:rPr>
          <w:rFonts w:eastAsia="SimSun" w:cs="Times New Roman"/>
          <w:lang w:val="en-GB"/>
        </w:rPr>
        <w:t xml:space="preserve">. </w:t>
      </w:r>
      <w:r w:rsidR="006A4A65" w:rsidRPr="00844C55">
        <w:rPr>
          <w:rFonts w:eastAsia="SimSun" w:cs="Times New Roman"/>
          <w:lang w:val="en-GB"/>
        </w:rPr>
        <w:t xml:space="preserve">Actually, the same </w:t>
      </w:r>
      <w:r w:rsidR="004A7C55">
        <w:rPr>
          <w:rFonts w:eastAsia="SimSun" w:cs="Times New Roman"/>
          <w:lang w:val="en-GB"/>
        </w:rPr>
        <w:t>caution</w:t>
      </w:r>
      <w:r w:rsidR="006A4A65" w:rsidRPr="00844C55">
        <w:rPr>
          <w:rFonts w:eastAsia="SimSun" w:cs="Times New Roman"/>
          <w:lang w:val="en-GB"/>
        </w:rPr>
        <w:t xml:space="preserve"> can also</w:t>
      </w:r>
      <w:r w:rsidR="002508D2">
        <w:rPr>
          <w:rFonts w:eastAsia="SimSun" w:cs="Times New Roman"/>
          <w:lang w:val="en-GB"/>
        </w:rPr>
        <w:t xml:space="preserve"> be observed in EU merger control</w:t>
      </w:r>
      <w:r w:rsidR="00C7143D" w:rsidRPr="00844C55">
        <w:rPr>
          <w:rFonts w:eastAsia="SimSun" w:cs="Times New Roman"/>
          <w:lang w:val="en-GB"/>
        </w:rPr>
        <w:t xml:space="preserve"> when </w:t>
      </w:r>
      <w:r w:rsidR="002508D2">
        <w:rPr>
          <w:rFonts w:eastAsia="SimSun" w:cs="Times New Roman"/>
          <w:lang w:val="en-GB"/>
        </w:rPr>
        <w:t>the Commission intent</w:t>
      </w:r>
      <w:r w:rsidR="00B73C24">
        <w:rPr>
          <w:rFonts w:eastAsia="SimSun" w:cs="Times New Roman"/>
          <w:lang w:val="en-GB"/>
        </w:rPr>
        <w:t xml:space="preserve"> to establish</w:t>
      </w:r>
      <w:r w:rsidR="00C7143D" w:rsidRPr="00844C55">
        <w:rPr>
          <w:rFonts w:eastAsia="SimSun" w:cs="Times New Roman"/>
          <w:lang w:val="en-GB"/>
        </w:rPr>
        <w:t xml:space="preserve"> </w:t>
      </w:r>
      <w:r w:rsidR="00B73C24">
        <w:rPr>
          <w:rFonts w:eastAsia="SimSun" w:cs="Times New Roman"/>
          <w:lang w:val="en-GB"/>
        </w:rPr>
        <w:t>a competition concern</w:t>
      </w:r>
      <w:r w:rsidR="00C7143D" w:rsidRPr="00844C55">
        <w:rPr>
          <w:rFonts w:eastAsia="SimSun" w:cs="Times New Roman"/>
          <w:lang w:val="en-GB"/>
        </w:rPr>
        <w:t xml:space="preserve"> </w:t>
      </w:r>
      <w:r w:rsidR="00B73C24">
        <w:rPr>
          <w:rFonts w:eastAsia="SimSun" w:cs="Times New Roman"/>
          <w:lang w:val="en-GB"/>
        </w:rPr>
        <w:t>for</w:t>
      </w:r>
      <w:r w:rsidR="00C7143D" w:rsidRPr="00844C55">
        <w:rPr>
          <w:rFonts w:eastAsia="SimSun" w:cs="Times New Roman"/>
          <w:lang w:val="en-GB"/>
        </w:rPr>
        <w:t xml:space="preserve"> IP rights</w:t>
      </w:r>
      <w:r w:rsidR="006A4A65" w:rsidRPr="00844C55">
        <w:rPr>
          <w:rFonts w:eastAsia="SimSun" w:cs="Times New Roman"/>
          <w:lang w:val="en-GB"/>
        </w:rPr>
        <w:t xml:space="preserve">. </w:t>
      </w:r>
      <w:r w:rsidRPr="00844C55">
        <w:rPr>
          <w:rFonts w:eastAsia="SimSun" w:cs="HNHFGB+TimesNewRoman,Italic"/>
          <w:color w:val="000000"/>
          <w:sz w:val="23"/>
          <w:szCs w:val="23"/>
          <w:lang w:val="en-GB"/>
        </w:rPr>
        <w:t xml:space="preserve">The empirical study by Durand revealed that </w:t>
      </w:r>
      <w:r w:rsidR="00D421BE" w:rsidRPr="00844C55">
        <w:rPr>
          <w:rFonts w:eastAsia="SimSun" w:cs="HNHFGB+TimesNewRoman,Italic"/>
          <w:color w:val="000000"/>
          <w:sz w:val="23"/>
          <w:szCs w:val="23"/>
          <w:lang w:val="en-GB"/>
        </w:rPr>
        <w:t xml:space="preserve">EU merger control encountered </w:t>
      </w:r>
      <w:r w:rsidR="00606FCB">
        <w:rPr>
          <w:rFonts w:eastAsia="SimSun" w:cs="HNHFGB+TimesNewRoman,Italic"/>
          <w:color w:val="000000"/>
          <w:sz w:val="23"/>
          <w:szCs w:val="23"/>
          <w:lang w:val="en-GB"/>
        </w:rPr>
        <w:t xml:space="preserve">IPRs </w:t>
      </w:r>
      <w:r w:rsidR="00D421BE" w:rsidRPr="00844C55">
        <w:rPr>
          <w:rFonts w:eastAsia="SimSun" w:cs="HNHFGB+TimesNewRoman,Italic"/>
          <w:color w:val="000000"/>
          <w:sz w:val="23"/>
          <w:szCs w:val="23"/>
          <w:lang w:val="en-GB"/>
        </w:rPr>
        <w:t xml:space="preserve">very often, and </w:t>
      </w:r>
      <w:r w:rsidR="008B3798" w:rsidRPr="00844C55">
        <w:rPr>
          <w:rFonts w:eastAsia="SimSun" w:cs="Times New Roman"/>
          <w:lang w:val="en-GB"/>
        </w:rPr>
        <w:t xml:space="preserve">treated </w:t>
      </w:r>
      <w:r w:rsidR="00606FCB">
        <w:rPr>
          <w:rFonts w:eastAsia="SimSun" w:cs="HNHFGB+TimesNewRoman,Italic"/>
          <w:color w:val="000000"/>
          <w:sz w:val="23"/>
          <w:szCs w:val="23"/>
          <w:lang w:val="en-GB"/>
        </w:rPr>
        <w:t xml:space="preserve">IPRs </w:t>
      </w:r>
      <w:r w:rsidR="008B3798" w:rsidRPr="00844C55">
        <w:rPr>
          <w:rFonts w:eastAsia="SimSun" w:cs="Times New Roman"/>
          <w:lang w:val="en-GB"/>
        </w:rPr>
        <w:t xml:space="preserve">mostly as </w:t>
      </w:r>
      <w:r w:rsidR="00837866">
        <w:rPr>
          <w:rFonts w:eastAsia="SimSun" w:cs="Times New Roman" w:hint="eastAsia"/>
          <w:lang w:val="en-GB"/>
        </w:rPr>
        <w:t xml:space="preserve">entry </w:t>
      </w:r>
      <w:r w:rsidR="008B3798" w:rsidRPr="00844C55">
        <w:rPr>
          <w:rFonts w:eastAsia="SimSun" w:cs="Times New Roman"/>
          <w:lang w:val="en-GB"/>
        </w:rPr>
        <w:t>barriers in a static analysis</w:t>
      </w:r>
      <w:r w:rsidR="00D421BE" w:rsidRPr="00844C55">
        <w:rPr>
          <w:rFonts w:eastAsia="SimSun" w:cs="Times New Roman"/>
          <w:lang w:val="en-GB"/>
        </w:rPr>
        <w:t xml:space="preserve"> when a</w:t>
      </w:r>
      <w:r w:rsidR="00837866">
        <w:rPr>
          <w:rFonts w:eastAsia="SimSun" w:cs="Times New Roman"/>
          <w:lang w:val="en-GB"/>
        </w:rPr>
        <w:t xml:space="preserve">ssessing horizontal effects, </w:t>
      </w:r>
      <w:r w:rsidR="00837866">
        <w:rPr>
          <w:rFonts w:eastAsia="SimSun" w:cs="Times New Roman" w:hint="eastAsia"/>
          <w:lang w:val="en-GB"/>
        </w:rPr>
        <w:t>and</w:t>
      </w:r>
      <w:r w:rsidR="00D421BE" w:rsidRPr="00844C55">
        <w:rPr>
          <w:rFonts w:eastAsia="SimSun" w:cs="Times New Roman"/>
          <w:lang w:val="en-GB"/>
        </w:rPr>
        <w:t xml:space="preserve"> </w:t>
      </w:r>
      <w:r w:rsidR="00D421BE" w:rsidRPr="00844C55">
        <w:rPr>
          <w:rFonts w:eastAsia="SimSun" w:cs="Times New Roman"/>
          <w:lang w:val="en-GB"/>
        </w:rPr>
        <w:lastRenderedPageBreak/>
        <w:t xml:space="preserve">only in </w:t>
      </w:r>
      <w:r w:rsidR="008B3798" w:rsidRPr="00844C55">
        <w:rPr>
          <w:rFonts w:eastAsia="SimSun" w:cs="Times New Roman"/>
          <w:lang w:val="en-GB"/>
        </w:rPr>
        <w:t xml:space="preserve">very few cases have </w:t>
      </w:r>
      <w:r w:rsidR="00606FCB">
        <w:rPr>
          <w:rFonts w:eastAsia="SimSun" w:cs="Times New Roman"/>
          <w:lang w:val="en-GB"/>
        </w:rPr>
        <w:t xml:space="preserve">IPRs </w:t>
      </w:r>
      <w:r w:rsidR="008B3798" w:rsidRPr="00844C55">
        <w:rPr>
          <w:rFonts w:eastAsia="SimSun" w:cs="Times New Roman"/>
          <w:lang w:val="en-GB"/>
        </w:rPr>
        <w:t>appeared to play a significant role in the competitive assessment.</w:t>
      </w:r>
      <w:r w:rsidR="008B3798" w:rsidRPr="00844C55">
        <w:rPr>
          <w:rStyle w:val="FootnoteReference"/>
          <w:rFonts w:eastAsia="SimSun" w:cs="Times New Roman"/>
          <w:lang w:val="en-GB"/>
        </w:rPr>
        <w:footnoteReference w:id="68"/>
      </w:r>
    </w:p>
    <w:p w:rsidR="00916B83" w:rsidRDefault="0076523F" w:rsidP="005501F6">
      <w:pPr>
        <w:rPr>
          <w:rFonts w:ascii="TimesNewRoman" w:eastAsia="SimSun" w:hAnsi="TimesNewRoman" w:cs="TimesNewRoman"/>
          <w:szCs w:val="24"/>
          <w:lang w:val="en-GB" w:bidi="ar-SA"/>
        </w:rPr>
      </w:pPr>
      <w:r w:rsidRPr="00844C55">
        <w:rPr>
          <w:rFonts w:eastAsia="SimSun" w:cs="Times New Roman"/>
          <w:lang w:val="en-GB"/>
        </w:rPr>
        <w:t xml:space="preserve">The Commission </w:t>
      </w:r>
      <w:r w:rsidR="001756BC" w:rsidRPr="00844C55">
        <w:rPr>
          <w:rFonts w:eastAsia="SimSun" w:cs="Times New Roman"/>
          <w:lang w:val="en-GB"/>
        </w:rPr>
        <w:t>makes the decision of</w:t>
      </w:r>
      <w:r w:rsidRPr="00844C55">
        <w:rPr>
          <w:rFonts w:eastAsia="SimSun" w:cs="Times New Roman"/>
          <w:lang w:val="en-GB"/>
        </w:rPr>
        <w:t xml:space="preserve"> </w:t>
      </w:r>
      <w:r w:rsidR="003B7399">
        <w:rPr>
          <w:rFonts w:eastAsia="SimSun" w:cs="Times New Roman"/>
          <w:lang w:val="en-GB"/>
        </w:rPr>
        <w:t xml:space="preserve">compulsory licensing </w:t>
      </w:r>
      <w:r w:rsidR="001756BC" w:rsidRPr="00844C55">
        <w:rPr>
          <w:rFonts w:eastAsia="SimSun" w:cs="Times New Roman"/>
          <w:lang w:val="en-GB"/>
        </w:rPr>
        <w:t xml:space="preserve">with a high level of </w:t>
      </w:r>
      <w:r w:rsidR="004A7C55">
        <w:rPr>
          <w:rFonts w:eastAsia="SimSun" w:cs="Times New Roman"/>
          <w:lang w:val="en-GB"/>
        </w:rPr>
        <w:t>caution</w:t>
      </w:r>
      <w:r w:rsidRPr="00844C55">
        <w:rPr>
          <w:rFonts w:eastAsia="SimSun" w:cs="Times New Roman"/>
          <w:lang w:val="en-GB"/>
        </w:rPr>
        <w:t xml:space="preserve"> </w:t>
      </w:r>
      <w:r w:rsidR="001756BC" w:rsidRPr="00844C55">
        <w:rPr>
          <w:rFonts w:eastAsia="SimSun" w:cs="Times New Roman"/>
          <w:lang w:val="en-GB"/>
        </w:rPr>
        <w:t>in</w:t>
      </w:r>
      <w:r w:rsidRPr="00844C55">
        <w:rPr>
          <w:rFonts w:eastAsia="SimSun" w:cs="Times New Roman"/>
          <w:lang w:val="en-GB"/>
        </w:rPr>
        <w:t xml:space="preserve"> </w:t>
      </w:r>
      <w:r w:rsidR="000E39CC">
        <w:rPr>
          <w:rFonts w:eastAsia="SimSun" w:cs="Times New Roman"/>
          <w:lang w:val="en-GB"/>
        </w:rPr>
        <w:t>both antitrust</w:t>
      </w:r>
      <w:r w:rsidR="001756BC" w:rsidRPr="00844C55">
        <w:rPr>
          <w:rFonts w:eastAsia="SimSun" w:cs="Times New Roman"/>
          <w:lang w:val="en-GB"/>
        </w:rPr>
        <w:t xml:space="preserve"> and </w:t>
      </w:r>
      <w:r w:rsidRPr="00844C55">
        <w:rPr>
          <w:rFonts w:eastAsia="SimSun" w:cs="Times New Roman"/>
          <w:lang w:val="en-GB"/>
        </w:rPr>
        <w:t>merger cases</w:t>
      </w:r>
      <w:r w:rsidR="000E39CC">
        <w:rPr>
          <w:rFonts w:eastAsia="SimSun" w:cs="Times New Roman"/>
          <w:lang w:val="en-GB"/>
        </w:rPr>
        <w:t>, b</w:t>
      </w:r>
      <w:r w:rsidR="001756BC" w:rsidRPr="00844C55">
        <w:rPr>
          <w:rFonts w:eastAsia="SimSun" w:cs="Times New Roman"/>
          <w:lang w:val="en-GB"/>
        </w:rPr>
        <w:t>ut t</w:t>
      </w:r>
      <w:r w:rsidRPr="00844C55">
        <w:rPr>
          <w:rFonts w:eastAsia="SimSun" w:cs="Times New Roman"/>
          <w:lang w:val="en-GB"/>
        </w:rPr>
        <w:t>he reason</w:t>
      </w:r>
      <w:r w:rsidR="001756BC" w:rsidRPr="00844C55">
        <w:rPr>
          <w:rFonts w:eastAsia="SimSun" w:cs="Times New Roman"/>
          <w:lang w:val="en-GB"/>
        </w:rPr>
        <w:t>s</w:t>
      </w:r>
      <w:r w:rsidR="000E39CC">
        <w:rPr>
          <w:rFonts w:eastAsia="SimSun" w:cs="Times New Roman"/>
          <w:lang w:val="en-GB"/>
        </w:rPr>
        <w:t xml:space="preserve"> for that</w:t>
      </w:r>
      <w:r w:rsidRPr="00844C55">
        <w:rPr>
          <w:rFonts w:eastAsia="SimSun" w:cs="Times New Roman"/>
          <w:lang w:val="en-GB"/>
        </w:rPr>
        <w:t xml:space="preserve"> </w:t>
      </w:r>
      <w:r w:rsidR="004A7C55">
        <w:rPr>
          <w:rFonts w:eastAsia="SimSun" w:cs="Times New Roman"/>
          <w:lang w:val="en-GB"/>
        </w:rPr>
        <w:t>caution</w:t>
      </w:r>
      <w:r w:rsidRPr="00844C55">
        <w:rPr>
          <w:rFonts w:eastAsia="SimSun" w:cs="Times New Roman"/>
          <w:lang w:val="en-GB"/>
        </w:rPr>
        <w:t xml:space="preserve"> </w:t>
      </w:r>
      <w:r w:rsidR="001756BC" w:rsidRPr="00844C55">
        <w:rPr>
          <w:rFonts w:eastAsia="SimSun" w:cs="Times New Roman"/>
          <w:lang w:val="en-GB"/>
        </w:rPr>
        <w:t>are</w:t>
      </w:r>
      <w:r w:rsidR="005A1BE7">
        <w:rPr>
          <w:rFonts w:eastAsia="SimSun" w:cs="Times New Roman"/>
          <w:lang w:val="en-GB"/>
        </w:rPr>
        <w:t xml:space="preserve"> varied</w:t>
      </w:r>
      <w:r w:rsidRPr="00844C55">
        <w:rPr>
          <w:rFonts w:eastAsia="SimSun" w:cs="Times New Roman"/>
          <w:lang w:val="en-GB"/>
        </w:rPr>
        <w:t xml:space="preserve">. For </w:t>
      </w:r>
      <w:r w:rsidR="005501F6" w:rsidRPr="00844C55">
        <w:rPr>
          <w:rFonts w:eastAsia="SimSun" w:cs="Times New Roman"/>
          <w:lang w:val="en-GB"/>
        </w:rPr>
        <w:t xml:space="preserve">abusive concerns, competition licensing </w:t>
      </w:r>
      <w:r w:rsidR="00B73C24">
        <w:rPr>
          <w:rFonts w:eastAsia="SimSun" w:cs="Times New Roman"/>
          <w:lang w:val="en-GB"/>
        </w:rPr>
        <w:t>is consider</w:t>
      </w:r>
      <w:r w:rsidR="00630B93">
        <w:rPr>
          <w:rFonts w:eastAsia="SimSun" w:cs="Times New Roman"/>
          <w:lang w:val="en-GB"/>
        </w:rPr>
        <w:t>ed</w:t>
      </w:r>
      <w:r w:rsidR="00B73C24">
        <w:rPr>
          <w:rFonts w:eastAsia="SimSun" w:cs="Times New Roman"/>
          <w:lang w:val="en-GB"/>
        </w:rPr>
        <w:t xml:space="preserve"> to</w:t>
      </w:r>
      <w:r w:rsidR="00E454EA">
        <w:rPr>
          <w:rFonts w:eastAsia="SimSun" w:cs="Times New Roman"/>
          <w:lang w:val="en-GB"/>
        </w:rPr>
        <w:t xml:space="preserve"> be too radical</w:t>
      </w:r>
      <w:r w:rsidR="005501F6" w:rsidRPr="00844C55">
        <w:rPr>
          <w:rFonts w:eastAsia="SimSun" w:cs="Times New Roman"/>
          <w:lang w:val="en-GB"/>
        </w:rPr>
        <w:t>, but for merger concerns, compulsory licensing might be not strong enough</w:t>
      </w:r>
      <w:r w:rsidR="00F347B4" w:rsidRPr="00F347B4">
        <w:rPr>
          <w:rFonts w:eastAsia="SimSun"/>
          <w:lang w:val="en-GB" w:bidi="ar-SA"/>
        </w:rPr>
        <w:t xml:space="preserve"> </w:t>
      </w:r>
      <w:r w:rsidR="00F347B4">
        <w:rPr>
          <w:rFonts w:eastAsia="SimSun" w:hint="eastAsia"/>
          <w:lang w:val="en-GB" w:bidi="ar-SA"/>
        </w:rPr>
        <w:t>and</w:t>
      </w:r>
      <w:r w:rsidR="00F347B4" w:rsidRPr="00844C55">
        <w:rPr>
          <w:rFonts w:eastAsia="SimSun"/>
          <w:lang w:val="en-GB" w:bidi="ar-SA"/>
        </w:rPr>
        <w:t xml:space="preserve"> </w:t>
      </w:r>
      <w:r w:rsidR="00F347B4" w:rsidRPr="00B717AE">
        <w:rPr>
          <w:rFonts w:eastAsia="SimSun"/>
          <w:lang w:val="en-GB"/>
        </w:rPr>
        <w:t>could</w:t>
      </w:r>
      <w:r w:rsidR="00F347B4" w:rsidRPr="00844C55">
        <w:rPr>
          <w:rFonts w:eastAsia="SimSun"/>
          <w:lang w:val="en-GB" w:bidi="ar-SA"/>
        </w:rPr>
        <w:t xml:space="preserve"> be accepted when the more radical remedy, divestiture, is not practical</w:t>
      </w:r>
      <w:r w:rsidR="005501F6" w:rsidRPr="00844C55">
        <w:rPr>
          <w:rFonts w:eastAsia="SimSun" w:cs="Times New Roman"/>
          <w:lang w:val="en-GB"/>
        </w:rPr>
        <w:t xml:space="preserve">. </w:t>
      </w:r>
      <w:r w:rsidR="004A7C55">
        <w:rPr>
          <w:rFonts w:eastAsia="SimSun" w:cs="Times New Roman"/>
          <w:lang w:val="en-GB"/>
        </w:rPr>
        <w:t>The design of compulsory licence</w:t>
      </w:r>
      <w:r w:rsidR="001B18A2">
        <w:rPr>
          <w:rFonts w:eastAsia="SimSun" w:cs="Times New Roman"/>
          <w:lang w:val="en-GB"/>
        </w:rPr>
        <w:t xml:space="preserve">s </w:t>
      </w:r>
      <w:r w:rsidR="007B566A">
        <w:rPr>
          <w:rFonts w:eastAsia="SimSun" w:cs="Times New Roman" w:hint="eastAsia"/>
          <w:lang w:val="en-GB"/>
        </w:rPr>
        <w:t xml:space="preserve">is obviously different between antitrust </w:t>
      </w:r>
      <w:r w:rsidR="007B566A">
        <w:rPr>
          <w:rFonts w:eastAsia="SimSun" w:cs="Times New Roman"/>
          <w:lang w:val="en-GB"/>
        </w:rPr>
        <w:t>and</w:t>
      </w:r>
      <w:r w:rsidR="007B566A">
        <w:rPr>
          <w:rFonts w:eastAsia="SimSun" w:cs="Times New Roman" w:hint="eastAsia"/>
          <w:lang w:val="en-GB"/>
        </w:rPr>
        <w:t xml:space="preserve"> merger cases.</w:t>
      </w:r>
      <w:r w:rsidR="004A7C55">
        <w:rPr>
          <w:rFonts w:eastAsia="SimSun" w:cs="Times New Roman"/>
          <w:lang w:val="en-GB"/>
        </w:rPr>
        <w:t xml:space="preserve"> </w:t>
      </w:r>
      <w:r w:rsidR="009E51CA">
        <w:rPr>
          <w:rFonts w:eastAsia="SimSun" w:cs="Times New Roman"/>
          <w:lang w:val="en-GB"/>
        </w:rPr>
        <w:t>For instance,</w:t>
      </w:r>
      <w:r w:rsidR="001B18A2">
        <w:rPr>
          <w:rFonts w:eastAsia="SimSun" w:cs="Times New Roman"/>
          <w:lang w:val="en-GB"/>
        </w:rPr>
        <w:t xml:space="preserve"> </w:t>
      </w:r>
      <w:r w:rsidR="00BF4500">
        <w:rPr>
          <w:rFonts w:eastAsia="SimSun" w:cs="Times New Roman"/>
          <w:lang w:val="en-GB"/>
        </w:rPr>
        <w:t xml:space="preserve">the </w:t>
      </w:r>
      <w:r w:rsidR="00BF4500">
        <w:rPr>
          <w:rFonts w:eastAsia="SimSun" w:cs="Times New Roman" w:hint="eastAsia"/>
          <w:lang w:val="en-GB"/>
        </w:rPr>
        <w:t xml:space="preserve">compulsory </w:t>
      </w:r>
      <w:r w:rsidR="00BF4500">
        <w:rPr>
          <w:rFonts w:eastAsia="SimSun" w:cs="Times New Roman"/>
          <w:lang w:val="en-GB"/>
        </w:rPr>
        <w:t>licences are offered to any willing party on a non-discriminatory basis</w:t>
      </w:r>
      <w:r w:rsidR="00BF4500">
        <w:rPr>
          <w:rFonts w:eastAsia="SimSun" w:cs="Times New Roman" w:hint="eastAsia"/>
          <w:lang w:val="en-GB"/>
        </w:rPr>
        <w:t xml:space="preserve"> under Article 102, but in merger cases,</w:t>
      </w:r>
      <w:r w:rsidR="00BF4500">
        <w:rPr>
          <w:rFonts w:eastAsia="SimSun" w:cs="Times New Roman"/>
          <w:lang w:val="en-GB"/>
        </w:rPr>
        <w:t xml:space="preserve"> </w:t>
      </w:r>
      <w:r w:rsidR="001B18A2">
        <w:rPr>
          <w:rFonts w:eastAsia="SimSun" w:cs="Times New Roman"/>
          <w:lang w:val="en-GB"/>
        </w:rPr>
        <w:t xml:space="preserve">the compulsory licences are often exclusive </w:t>
      </w:r>
      <w:r w:rsidR="00957338">
        <w:rPr>
          <w:rFonts w:eastAsia="SimSun" w:cs="Times New Roman" w:hint="eastAsia"/>
          <w:lang w:val="en-GB"/>
        </w:rPr>
        <w:t>for</w:t>
      </w:r>
      <w:r w:rsidR="001B18A2">
        <w:rPr>
          <w:rFonts w:eastAsia="SimSun" w:cs="Times New Roman"/>
          <w:lang w:val="en-GB"/>
        </w:rPr>
        <w:t xml:space="preserve"> specific and </w:t>
      </w:r>
      <w:r w:rsidR="00BF4500">
        <w:rPr>
          <w:rFonts w:eastAsia="SimSun" w:cs="Times New Roman"/>
          <w:lang w:val="en-GB"/>
        </w:rPr>
        <w:t>named licensees</w:t>
      </w:r>
      <w:r w:rsidR="009E51CA">
        <w:rPr>
          <w:rFonts w:eastAsia="SimSun" w:cs="Times New Roman"/>
          <w:lang w:val="en-GB"/>
        </w:rPr>
        <w:t>. And</w:t>
      </w:r>
      <w:r w:rsidR="001B18A2">
        <w:rPr>
          <w:rFonts w:eastAsia="SimSun" w:cs="Times New Roman"/>
          <w:lang w:val="en-GB"/>
        </w:rPr>
        <w:t xml:space="preserve"> </w:t>
      </w:r>
      <w:r w:rsidR="00BE6126">
        <w:rPr>
          <w:rFonts w:eastAsia="SimSun" w:cs="Times New Roman"/>
          <w:lang w:val="en-GB"/>
        </w:rPr>
        <w:t xml:space="preserve">royalty-free offer has only been found in merger cases, </w:t>
      </w:r>
      <w:r w:rsidR="00B75BED">
        <w:rPr>
          <w:rFonts w:eastAsia="SimSun" w:cs="Times New Roman" w:hint="eastAsia"/>
          <w:lang w:val="en-GB"/>
        </w:rPr>
        <w:t xml:space="preserve">but </w:t>
      </w:r>
      <w:r w:rsidR="00BE6126">
        <w:rPr>
          <w:rFonts w:eastAsia="SimSun" w:cs="Times New Roman"/>
          <w:lang w:val="en-GB"/>
        </w:rPr>
        <w:t xml:space="preserve">never in antitrust cases. </w:t>
      </w:r>
      <w:r w:rsidR="009E51CA">
        <w:rPr>
          <w:rFonts w:eastAsia="SimSun" w:cs="Times New Roman"/>
          <w:lang w:val="en-GB"/>
        </w:rPr>
        <w:t>Generally, t</w:t>
      </w:r>
      <w:r w:rsidR="00456FB8" w:rsidRPr="00844C55">
        <w:rPr>
          <w:rFonts w:ascii="TimesNewRoman" w:eastAsia="SimSun" w:hAnsi="TimesNewRoman" w:cs="TimesNewRoman"/>
          <w:szCs w:val="24"/>
          <w:lang w:val="en-GB" w:bidi="ar-SA"/>
        </w:rPr>
        <w:t>he</w:t>
      </w:r>
      <w:r w:rsidR="008C6302" w:rsidRPr="00844C55">
        <w:rPr>
          <w:rFonts w:ascii="TimesNewRoman" w:eastAsia="SimSun" w:hAnsi="TimesNewRoman" w:cs="TimesNewRoman"/>
          <w:szCs w:val="24"/>
          <w:lang w:val="en-GB" w:bidi="ar-SA"/>
        </w:rPr>
        <w:t xml:space="preserve"> Commission may require</w:t>
      </w:r>
      <w:r w:rsidR="009D2F8D" w:rsidRPr="00844C55">
        <w:rPr>
          <w:rFonts w:ascii="TimesNewRoman" w:eastAsia="SimSun" w:hAnsi="TimesNewRoman" w:cs="TimesNewRoman"/>
          <w:szCs w:val="24"/>
          <w:lang w:val="en-GB" w:bidi="ar-SA"/>
        </w:rPr>
        <w:t xml:space="preserve"> </w:t>
      </w:r>
      <w:r w:rsidR="009E51CA">
        <w:rPr>
          <w:rFonts w:ascii="TimesNewRoman" w:eastAsia="SimSun" w:hAnsi="TimesNewRoman" w:cs="TimesNewRoman"/>
          <w:szCs w:val="24"/>
          <w:lang w:val="en-GB" w:bidi="ar-SA"/>
        </w:rPr>
        <w:t xml:space="preserve">more </w:t>
      </w:r>
      <w:r w:rsidR="009D2F8D" w:rsidRPr="00844C55">
        <w:rPr>
          <w:rFonts w:ascii="TimesNewRoman" w:eastAsia="SimSun" w:hAnsi="TimesNewRoman" w:cs="TimesNewRoman"/>
          <w:szCs w:val="24"/>
          <w:lang w:val="en-GB" w:bidi="ar-SA"/>
        </w:rPr>
        <w:t xml:space="preserve">stringent terms </w:t>
      </w:r>
      <w:r w:rsidR="0056095D" w:rsidRPr="00844C55">
        <w:rPr>
          <w:rFonts w:ascii="TimesNewRoman" w:eastAsia="SimSun" w:hAnsi="TimesNewRoman" w:cs="TimesNewRoman"/>
          <w:szCs w:val="24"/>
          <w:lang w:val="en-GB" w:bidi="ar-SA"/>
        </w:rPr>
        <w:t>from</w:t>
      </w:r>
      <w:r w:rsidR="009D2F8D" w:rsidRPr="00844C55">
        <w:rPr>
          <w:rFonts w:ascii="TimesNewRoman" w:eastAsia="SimSun" w:hAnsi="TimesNewRoman" w:cs="TimesNewRoman"/>
          <w:szCs w:val="24"/>
          <w:lang w:val="en-GB" w:bidi="ar-SA"/>
        </w:rPr>
        <w:t xml:space="preserve"> </w:t>
      </w:r>
      <w:r w:rsidR="00F60B89">
        <w:rPr>
          <w:rFonts w:ascii="TimesNewRoman" w:eastAsia="SimSun" w:hAnsi="TimesNewRoman" w:cs="TimesNewRoman"/>
          <w:szCs w:val="24"/>
          <w:lang w:val="en-GB" w:bidi="ar-SA"/>
        </w:rPr>
        <w:t>the merging parties</w:t>
      </w:r>
      <w:r w:rsidR="009D2F8D" w:rsidRPr="00844C55">
        <w:rPr>
          <w:rFonts w:ascii="TimesNewRoman" w:eastAsia="SimSun" w:hAnsi="TimesNewRoman" w:cs="TimesNewRoman"/>
          <w:szCs w:val="24"/>
          <w:lang w:val="en-GB" w:bidi="ar-SA"/>
        </w:rPr>
        <w:t>, such as royalty-free, exclusive</w:t>
      </w:r>
      <w:r w:rsidR="008A6D1A" w:rsidRPr="00844C55">
        <w:rPr>
          <w:rFonts w:ascii="TimesNewRoman" w:eastAsia="SimSun" w:hAnsi="TimesNewRoman" w:cs="TimesNewRoman"/>
          <w:szCs w:val="24"/>
          <w:lang w:val="en-GB" w:bidi="ar-SA"/>
        </w:rPr>
        <w:t xml:space="preserve"> licensing</w:t>
      </w:r>
      <w:r w:rsidR="00D005BD" w:rsidRPr="00844C55">
        <w:rPr>
          <w:rFonts w:ascii="TimesNewRoman" w:eastAsia="SimSun" w:hAnsi="TimesNewRoman" w:cs="TimesNewRoman"/>
          <w:szCs w:val="24"/>
          <w:lang w:val="en-GB" w:bidi="ar-SA"/>
        </w:rPr>
        <w:t xml:space="preserve">, </w:t>
      </w:r>
      <w:r w:rsidR="005A1BE7">
        <w:rPr>
          <w:rFonts w:ascii="TimesNewRoman" w:eastAsia="SimSun" w:hAnsi="TimesNewRoman" w:cs="TimesNewRoman"/>
          <w:szCs w:val="24"/>
          <w:lang w:val="en-GB" w:bidi="ar-SA"/>
        </w:rPr>
        <w:t>non-</w:t>
      </w:r>
      <w:r w:rsidR="005A1BE7" w:rsidRPr="00844C55">
        <w:rPr>
          <w:rFonts w:ascii="TimesNewRoman" w:eastAsia="SimSun" w:hAnsi="TimesNewRoman" w:cs="TimesNewRoman"/>
          <w:szCs w:val="24"/>
          <w:lang w:val="en-GB" w:bidi="ar-SA"/>
        </w:rPr>
        <w:t>restriction</w:t>
      </w:r>
      <w:r w:rsidR="005A1BE7">
        <w:rPr>
          <w:rFonts w:ascii="TimesNewRoman" w:eastAsia="SimSun" w:hAnsi="TimesNewRoman" w:cs="TimesNewRoman"/>
          <w:szCs w:val="24"/>
          <w:lang w:val="en-GB" w:bidi="ar-SA"/>
        </w:rPr>
        <w:t xml:space="preserve"> on</w:t>
      </w:r>
      <w:r w:rsidR="00D005BD" w:rsidRPr="00844C55">
        <w:rPr>
          <w:rFonts w:ascii="TimesNewRoman" w:eastAsia="SimSun" w:hAnsi="TimesNewRoman" w:cs="TimesNewRoman"/>
          <w:szCs w:val="24"/>
          <w:lang w:val="en-GB" w:bidi="ar-SA"/>
        </w:rPr>
        <w:t xml:space="preserve"> field-of-use and any </w:t>
      </w:r>
      <w:r w:rsidR="005A1BE7">
        <w:rPr>
          <w:rFonts w:ascii="TimesNewRoman" w:eastAsia="SimSun" w:hAnsi="TimesNewRoman" w:cs="TimesNewRoman"/>
          <w:szCs w:val="24"/>
          <w:lang w:val="en-GB" w:bidi="ar-SA"/>
        </w:rPr>
        <w:t>geographical</w:t>
      </w:r>
      <w:r w:rsidR="006F2151" w:rsidRPr="00844C55">
        <w:rPr>
          <w:rFonts w:ascii="TimesNewRoman" w:eastAsia="SimSun" w:hAnsi="TimesNewRoman" w:cs="TimesNewRoman"/>
          <w:szCs w:val="24"/>
          <w:lang w:val="en-GB" w:bidi="ar-SA"/>
        </w:rPr>
        <w:t xml:space="preserve">, to ensure that the </w:t>
      </w:r>
      <w:r w:rsidR="00606FCB">
        <w:rPr>
          <w:rFonts w:ascii="TimesNewRoman" w:eastAsia="SimSun" w:hAnsi="TimesNewRoman" w:cs="TimesNewRoman"/>
          <w:szCs w:val="24"/>
          <w:lang w:val="en-GB" w:bidi="ar-SA"/>
        </w:rPr>
        <w:t xml:space="preserve">IPRs </w:t>
      </w:r>
      <w:r w:rsidR="006F2151" w:rsidRPr="00844C55">
        <w:rPr>
          <w:rFonts w:ascii="TimesNewRoman" w:eastAsia="SimSun" w:hAnsi="TimesNewRoman" w:cs="TimesNewRoman"/>
          <w:szCs w:val="24"/>
          <w:lang w:val="en-GB" w:bidi="ar-SA"/>
        </w:rPr>
        <w:t xml:space="preserve">concerned could not </w:t>
      </w:r>
      <w:r w:rsidR="00507A1A" w:rsidRPr="00844C55">
        <w:rPr>
          <w:rFonts w:ascii="TimesNewRoman" w:eastAsia="SimSun" w:hAnsi="TimesNewRoman" w:cs="TimesNewRoman"/>
          <w:szCs w:val="24"/>
          <w:lang w:val="en-GB" w:bidi="ar-SA"/>
        </w:rPr>
        <w:t xml:space="preserve">hinder the licensees from being </w:t>
      </w:r>
      <w:r w:rsidR="00844217" w:rsidRPr="00844C55">
        <w:rPr>
          <w:rFonts w:ascii="TimesNewRoman" w:eastAsia="SimSun" w:hAnsi="TimesNewRoman" w:cs="TimesNewRoman"/>
          <w:szCs w:val="24"/>
          <w:lang w:val="en-GB" w:bidi="ar-SA"/>
        </w:rPr>
        <w:t xml:space="preserve">viable </w:t>
      </w:r>
      <w:r w:rsidR="00507A1A" w:rsidRPr="00844C55">
        <w:rPr>
          <w:rFonts w:ascii="TimesNewRoman" w:eastAsia="SimSun" w:hAnsi="TimesNewRoman" w:cs="TimesNewRoman"/>
          <w:szCs w:val="24"/>
          <w:lang w:val="en-GB" w:bidi="ar-SA"/>
        </w:rPr>
        <w:t>competitors</w:t>
      </w:r>
      <w:r w:rsidR="005A1BE7">
        <w:rPr>
          <w:rFonts w:ascii="TimesNewRoman" w:eastAsia="SimSun" w:hAnsi="TimesNewRoman" w:cs="TimesNewRoman"/>
          <w:szCs w:val="24"/>
          <w:lang w:val="en-GB" w:bidi="ar-SA"/>
        </w:rPr>
        <w:t>,</w:t>
      </w:r>
      <w:r w:rsidR="00D005BD" w:rsidRPr="00844C55">
        <w:rPr>
          <w:rStyle w:val="FootnoteReference"/>
          <w:rFonts w:ascii="TimesNewRoman" w:eastAsia="SimSun" w:hAnsi="TimesNewRoman" w:cs="TimesNewRoman"/>
          <w:szCs w:val="24"/>
          <w:lang w:val="en-GB" w:bidi="ar-SA"/>
        </w:rPr>
        <w:footnoteReference w:id="69"/>
      </w:r>
      <w:r w:rsidR="00456FB8" w:rsidRPr="00844C55">
        <w:rPr>
          <w:rFonts w:ascii="TimesNewRoman" w:eastAsia="SimSun" w:hAnsi="TimesNewRoman" w:cs="TimesNewRoman"/>
          <w:szCs w:val="24"/>
          <w:lang w:val="en-GB" w:bidi="ar-SA"/>
        </w:rPr>
        <w:t xml:space="preserve"> </w:t>
      </w:r>
      <w:r w:rsidR="005A1BE7">
        <w:rPr>
          <w:rFonts w:ascii="TimesNewRoman" w:eastAsia="SimSun" w:hAnsi="TimesNewRoman" w:cs="TimesNewRoman"/>
          <w:szCs w:val="24"/>
          <w:lang w:val="en-GB" w:bidi="ar-SA"/>
        </w:rPr>
        <w:t>but</w:t>
      </w:r>
      <w:r w:rsidR="001D4199" w:rsidRPr="00844C55">
        <w:rPr>
          <w:rFonts w:ascii="TimesNewRoman" w:eastAsia="SimSun" w:hAnsi="TimesNewRoman" w:cs="TimesNewRoman"/>
          <w:szCs w:val="24"/>
          <w:lang w:val="en-GB" w:bidi="ar-SA"/>
        </w:rPr>
        <w:t xml:space="preserve"> </w:t>
      </w:r>
      <w:r w:rsidR="005A1BE7" w:rsidRPr="00844C55">
        <w:rPr>
          <w:rFonts w:ascii="TimesNewRoman" w:eastAsia="SimSun" w:hAnsi="TimesNewRoman" w:cs="TimesNewRoman"/>
          <w:szCs w:val="24"/>
          <w:lang w:val="en-GB" w:bidi="ar-SA"/>
        </w:rPr>
        <w:t xml:space="preserve">never asked for </w:t>
      </w:r>
      <w:r w:rsidR="005A1BE7">
        <w:rPr>
          <w:rFonts w:ascii="TimesNewRoman" w:eastAsia="SimSun" w:hAnsi="TimesNewRoman" w:cs="TimesNewRoman"/>
          <w:szCs w:val="24"/>
          <w:lang w:val="en-GB" w:bidi="ar-SA"/>
        </w:rPr>
        <w:t xml:space="preserve">such commitments from antitrust infringers. </w:t>
      </w:r>
      <w:r w:rsidR="00741A12">
        <w:rPr>
          <w:rFonts w:ascii="TimesNewRoman" w:eastAsia="SimSun" w:hAnsi="TimesNewRoman" w:cs="TimesNewRoman"/>
          <w:szCs w:val="24"/>
          <w:lang w:val="en-GB" w:bidi="ar-SA"/>
        </w:rPr>
        <w:t>Comparing to its practise in merger control, t</w:t>
      </w:r>
      <w:r w:rsidR="005A1BE7">
        <w:rPr>
          <w:rFonts w:ascii="TimesNewRoman" w:eastAsia="SimSun" w:hAnsi="TimesNewRoman" w:cs="TimesNewRoman"/>
          <w:szCs w:val="24"/>
          <w:lang w:val="en-GB" w:bidi="ar-SA"/>
        </w:rPr>
        <w:t xml:space="preserve">he Commission </w:t>
      </w:r>
      <w:r w:rsidR="00844217" w:rsidRPr="00844C55">
        <w:rPr>
          <w:rFonts w:ascii="TimesNewRoman" w:eastAsia="SimSun" w:hAnsi="TimesNewRoman" w:cs="TimesNewRoman"/>
          <w:szCs w:val="24"/>
          <w:lang w:val="en-GB" w:bidi="ar-SA"/>
        </w:rPr>
        <w:t>has been</w:t>
      </w:r>
      <w:r w:rsidR="001D4199" w:rsidRPr="00844C55">
        <w:rPr>
          <w:rFonts w:ascii="TimesNewRoman" w:eastAsia="SimSun" w:hAnsi="TimesNewRoman" w:cs="TimesNewRoman"/>
          <w:szCs w:val="24"/>
          <w:lang w:val="en-GB" w:bidi="ar-SA"/>
        </w:rPr>
        <w:t xml:space="preserve"> </w:t>
      </w:r>
      <w:r w:rsidR="00741A12">
        <w:rPr>
          <w:rFonts w:ascii="TimesNewRoman" w:eastAsia="SimSun" w:hAnsi="TimesNewRoman" w:cs="TimesNewRoman"/>
          <w:szCs w:val="24"/>
          <w:lang w:val="en-GB" w:bidi="ar-SA"/>
        </w:rPr>
        <w:t>much less aggressive</w:t>
      </w:r>
      <w:r w:rsidR="00844217" w:rsidRPr="00844C55">
        <w:rPr>
          <w:rFonts w:ascii="TimesNewRoman" w:eastAsia="SimSun" w:hAnsi="TimesNewRoman" w:cs="TimesNewRoman"/>
          <w:szCs w:val="24"/>
          <w:lang w:val="en-GB" w:bidi="ar-SA"/>
        </w:rPr>
        <w:t xml:space="preserve"> </w:t>
      </w:r>
      <w:r w:rsidR="001D4199" w:rsidRPr="00844C55">
        <w:rPr>
          <w:rFonts w:ascii="TimesNewRoman" w:eastAsia="SimSun" w:hAnsi="TimesNewRoman" w:cs="TimesNewRoman"/>
          <w:szCs w:val="24"/>
          <w:lang w:val="en-GB" w:bidi="ar-SA"/>
        </w:rPr>
        <w:t xml:space="preserve">when levying licensing obligation </w:t>
      </w:r>
      <w:r w:rsidR="00844217" w:rsidRPr="00844C55">
        <w:rPr>
          <w:rFonts w:ascii="TimesNewRoman" w:eastAsia="SimSun" w:hAnsi="TimesNewRoman" w:cs="TimesNewRoman"/>
          <w:szCs w:val="24"/>
          <w:lang w:val="en-GB" w:bidi="ar-SA"/>
        </w:rPr>
        <w:t>to infringers of Article 102</w:t>
      </w:r>
      <w:r w:rsidR="005A1BE7">
        <w:rPr>
          <w:rFonts w:ascii="TimesNewRoman" w:eastAsia="SimSun" w:hAnsi="TimesNewRoman" w:cs="TimesNewRoman"/>
          <w:szCs w:val="24"/>
          <w:lang w:val="en-GB" w:bidi="ar-SA"/>
        </w:rPr>
        <w:t>. It</w:t>
      </w:r>
      <w:r w:rsidR="0034727A" w:rsidRPr="00844C55">
        <w:rPr>
          <w:rFonts w:ascii="TimesNewRoman" w:eastAsia="SimSun" w:hAnsi="TimesNewRoman" w:cs="TimesNewRoman"/>
          <w:szCs w:val="24"/>
          <w:lang w:val="en-GB" w:bidi="ar-SA"/>
        </w:rPr>
        <w:t xml:space="preserve"> </w:t>
      </w:r>
      <w:r w:rsidR="005949F7" w:rsidRPr="00844C55">
        <w:rPr>
          <w:rFonts w:ascii="TimesNewRoman" w:eastAsia="SimSun" w:hAnsi="TimesNewRoman" w:cs="TimesNewRoman"/>
          <w:szCs w:val="24"/>
          <w:lang w:val="en-GB" w:bidi="ar-SA"/>
        </w:rPr>
        <w:t xml:space="preserve">only </w:t>
      </w:r>
      <w:r w:rsidR="003A4936" w:rsidRPr="00844C55">
        <w:rPr>
          <w:rFonts w:ascii="TimesNewRoman" w:eastAsia="SimSun" w:hAnsi="TimesNewRoman" w:cs="TimesNewRoman"/>
          <w:szCs w:val="24"/>
          <w:lang w:val="en-GB" w:bidi="ar-SA"/>
        </w:rPr>
        <w:t>expect</w:t>
      </w:r>
      <w:r w:rsidR="0034727A" w:rsidRPr="00844C55">
        <w:rPr>
          <w:rFonts w:ascii="TimesNewRoman" w:eastAsia="SimSun" w:hAnsi="TimesNewRoman" w:cs="TimesNewRoman"/>
          <w:szCs w:val="24"/>
          <w:lang w:val="en-GB" w:bidi="ar-SA"/>
        </w:rPr>
        <w:t>s</w:t>
      </w:r>
      <w:r w:rsidR="005949F7" w:rsidRPr="00844C55">
        <w:rPr>
          <w:rFonts w:ascii="TimesNewRoman" w:eastAsia="SimSun" w:hAnsi="TimesNewRoman" w:cs="TimesNewRoman"/>
          <w:szCs w:val="24"/>
          <w:lang w:val="en-GB" w:bidi="ar-SA"/>
        </w:rPr>
        <w:t xml:space="preserve"> the licensing terms to</w:t>
      </w:r>
      <w:r w:rsidR="003A4936" w:rsidRPr="00844C55">
        <w:rPr>
          <w:rFonts w:ascii="TimesNewRoman" w:eastAsia="SimSun" w:hAnsi="TimesNewRoman" w:cs="TimesNewRoman"/>
          <w:szCs w:val="24"/>
          <w:lang w:val="en-GB" w:bidi="ar-SA"/>
        </w:rPr>
        <w:t xml:space="preserve"> be reasonable and non-discriminatory to all companies which would need the access to the </w:t>
      </w:r>
      <w:r w:rsidR="00606FCB">
        <w:rPr>
          <w:rFonts w:ascii="TimesNewRoman" w:eastAsia="SimSun" w:hAnsi="TimesNewRoman" w:cs="TimesNewRoman"/>
          <w:szCs w:val="24"/>
          <w:lang w:val="en-GB" w:bidi="ar-SA"/>
        </w:rPr>
        <w:t xml:space="preserve">IPRs </w:t>
      </w:r>
      <w:r w:rsidR="003A4936" w:rsidRPr="00844C55">
        <w:rPr>
          <w:rFonts w:ascii="TimesNewRoman" w:eastAsia="SimSun" w:hAnsi="TimesNewRoman" w:cs="TimesNewRoman"/>
          <w:szCs w:val="24"/>
          <w:lang w:val="en-GB" w:bidi="ar-SA"/>
        </w:rPr>
        <w:t xml:space="preserve">to enter a second market. </w:t>
      </w:r>
    </w:p>
    <w:p w:rsidR="00F51789" w:rsidRDefault="0078572B" w:rsidP="00315528">
      <w:pPr>
        <w:rPr>
          <w:rFonts w:ascii="TimesNewRoman" w:eastAsia="SimSun" w:hAnsi="TimesNewRoman" w:cs="TimesNewRoman"/>
          <w:szCs w:val="24"/>
          <w:lang w:val="en-GB" w:bidi="ar-SA"/>
        </w:rPr>
      </w:pPr>
      <w:r>
        <w:rPr>
          <w:rFonts w:ascii="TimesNewRoman" w:eastAsia="SimSun" w:hAnsi="TimesNewRoman" w:cs="TimesNewRoman" w:hint="eastAsia"/>
          <w:szCs w:val="24"/>
          <w:lang w:val="en-GB" w:bidi="ar-SA"/>
        </w:rPr>
        <w:t>C</w:t>
      </w:r>
      <w:r w:rsidR="003F09F5">
        <w:rPr>
          <w:rFonts w:ascii="TimesNewRoman" w:eastAsia="SimSun" w:hAnsi="TimesNewRoman" w:cs="TimesNewRoman"/>
          <w:szCs w:val="24"/>
          <w:lang w:val="en-GB" w:bidi="ar-SA"/>
        </w:rPr>
        <w:t xml:space="preserve">ompulsory licensing </w:t>
      </w:r>
      <w:r w:rsidR="00F4154A">
        <w:rPr>
          <w:rFonts w:ascii="TimesNewRoman" w:eastAsia="SimSun" w:hAnsi="TimesNewRoman" w:cs="TimesNewRoman"/>
          <w:szCs w:val="24"/>
          <w:lang w:val="en-GB" w:bidi="ar-SA"/>
        </w:rPr>
        <w:t>receives different treatments from the Commission</w:t>
      </w:r>
      <w:r>
        <w:rPr>
          <w:rFonts w:ascii="TimesNewRoman" w:eastAsia="SimSun" w:hAnsi="TimesNewRoman" w:cs="TimesNewRoman" w:hint="eastAsia"/>
          <w:szCs w:val="24"/>
          <w:lang w:val="en-GB" w:bidi="ar-SA"/>
        </w:rPr>
        <w:t xml:space="preserve">, </w:t>
      </w:r>
      <w:r>
        <w:rPr>
          <w:rFonts w:ascii="TimesNewRoman" w:eastAsia="SimSun" w:hAnsi="TimesNewRoman" w:cs="TimesNewRoman"/>
          <w:szCs w:val="24"/>
          <w:lang w:val="en-GB" w:bidi="ar-SA"/>
        </w:rPr>
        <w:t>because</w:t>
      </w:r>
      <w:r>
        <w:rPr>
          <w:rFonts w:ascii="TimesNewRoman" w:eastAsia="SimSun" w:hAnsi="TimesNewRoman" w:cs="TimesNewRoman" w:hint="eastAsia"/>
          <w:szCs w:val="24"/>
          <w:lang w:val="en-GB" w:bidi="ar-SA"/>
        </w:rPr>
        <w:t xml:space="preserve"> of </w:t>
      </w:r>
      <w:r>
        <w:rPr>
          <w:rFonts w:ascii="TimesNewRoman" w:eastAsia="SimSun" w:hAnsi="TimesNewRoman" w:cs="TimesNewRoman"/>
          <w:szCs w:val="24"/>
          <w:lang w:val="en-GB" w:bidi="ar-SA"/>
        </w:rPr>
        <w:t>the</w:t>
      </w:r>
      <w:r>
        <w:rPr>
          <w:rFonts w:ascii="TimesNewRoman" w:eastAsia="SimSun" w:hAnsi="TimesNewRoman" w:cs="TimesNewRoman" w:hint="eastAsia"/>
          <w:szCs w:val="24"/>
          <w:lang w:val="en-GB" w:bidi="ar-SA"/>
        </w:rPr>
        <w:t xml:space="preserve"> different agendas it tries to achieve u</w:t>
      </w:r>
      <w:r>
        <w:rPr>
          <w:rFonts w:ascii="TimesNewRoman" w:eastAsia="SimSun" w:hAnsi="TimesNewRoman" w:cs="TimesNewRoman"/>
          <w:szCs w:val="24"/>
          <w:lang w:val="en-GB" w:bidi="ar-SA"/>
        </w:rPr>
        <w:t>nder Article 102</w:t>
      </w:r>
      <w:r w:rsidRPr="00B102D9">
        <w:rPr>
          <w:rFonts w:ascii="TimesNewRoman" w:eastAsia="SimSun" w:hAnsi="TimesNewRoman" w:cs="TimesNewRoman"/>
          <w:szCs w:val="24"/>
          <w:lang w:val="en-GB" w:bidi="ar-SA"/>
        </w:rPr>
        <w:t xml:space="preserve"> </w:t>
      </w:r>
      <w:r>
        <w:rPr>
          <w:rFonts w:ascii="TimesNewRoman" w:eastAsia="SimSun" w:hAnsi="TimesNewRoman" w:cs="TimesNewRoman"/>
          <w:szCs w:val="24"/>
          <w:lang w:val="en-GB" w:bidi="ar-SA"/>
        </w:rPr>
        <w:t>and merger control</w:t>
      </w:r>
      <w:r w:rsidR="00F4154A">
        <w:rPr>
          <w:rFonts w:ascii="TimesNewRoman" w:eastAsia="SimSun" w:hAnsi="TimesNewRoman" w:cs="TimesNewRoman"/>
          <w:szCs w:val="24"/>
          <w:lang w:val="en-GB" w:bidi="ar-SA"/>
        </w:rPr>
        <w:t xml:space="preserve">. </w:t>
      </w:r>
      <w:r w:rsidR="00F60B89" w:rsidRPr="00844C55">
        <w:rPr>
          <w:rFonts w:ascii="TimesNewRoman" w:eastAsia="SimSun" w:hAnsi="TimesNewRoman" w:cs="TimesNewRoman"/>
          <w:szCs w:val="24"/>
          <w:lang w:val="en-GB" w:bidi="ar-SA"/>
        </w:rPr>
        <w:t>I</w:t>
      </w:r>
      <w:r w:rsidR="00682B55">
        <w:rPr>
          <w:rFonts w:ascii="TimesNewRoman" w:eastAsia="SimSun" w:hAnsi="TimesNewRoman" w:cs="TimesNewRoman"/>
          <w:szCs w:val="24"/>
          <w:lang w:val="en-GB" w:bidi="ar-SA"/>
        </w:rPr>
        <w:t xml:space="preserve">n the context of merger control, </w:t>
      </w:r>
      <w:r w:rsidR="00F60B89" w:rsidRPr="00844C55">
        <w:rPr>
          <w:rFonts w:ascii="TimesNewRoman" w:eastAsia="SimSun" w:hAnsi="TimesNewRoman" w:cs="TimesNewRoman"/>
          <w:szCs w:val="24"/>
          <w:lang w:val="en-GB" w:bidi="ar-SA"/>
        </w:rPr>
        <w:t xml:space="preserve">compulsory licensing can be adopted only under a few circumstances, that is, as an effective supplement or </w:t>
      </w:r>
      <w:r w:rsidR="00F60B89">
        <w:rPr>
          <w:rFonts w:ascii="TimesNewRoman" w:eastAsia="SimSun" w:hAnsi="TimesNewRoman" w:cs="TimesNewRoman"/>
          <w:szCs w:val="24"/>
          <w:lang w:val="en-GB" w:bidi="ar-SA"/>
        </w:rPr>
        <w:t>alternative</w:t>
      </w:r>
      <w:r w:rsidR="00F60B89" w:rsidRPr="00844C55">
        <w:rPr>
          <w:rFonts w:ascii="TimesNewRoman" w:eastAsia="SimSun" w:hAnsi="TimesNewRoman" w:cs="TimesNewRoman"/>
          <w:szCs w:val="24"/>
          <w:lang w:val="en-GB" w:bidi="ar-SA"/>
        </w:rPr>
        <w:t xml:space="preserve"> to divestiture remedies or </w:t>
      </w:r>
      <w:r w:rsidR="00F60B89">
        <w:rPr>
          <w:rFonts w:ascii="TimesNewRoman" w:eastAsia="SimSun" w:hAnsi="TimesNewRoman" w:cs="TimesNewRoman"/>
          <w:szCs w:val="24"/>
          <w:lang w:val="en-GB" w:bidi="ar-SA"/>
        </w:rPr>
        <w:t>for the</w:t>
      </w:r>
      <w:r w:rsidR="00F60B89" w:rsidRPr="00844C55">
        <w:rPr>
          <w:rFonts w:ascii="TimesNewRoman" w:eastAsia="SimSun" w:hAnsi="TimesNewRoman" w:cs="TimesNewRoman"/>
          <w:szCs w:val="24"/>
          <w:lang w:val="en-GB" w:bidi="ar-SA"/>
        </w:rPr>
        <w:t xml:space="preserve"> vertical concerns </w:t>
      </w:r>
      <w:r w:rsidR="00671FFE">
        <w:rPr>
          <w:rFonts w:ascii="TimesNewRoman" w:eastAsia="SimSun" w:hAnsi="TimesNewRoman" w:cs="TimesNewRoman" w:hint="eastAsia"/>
          <w:szCs w:val="24"/>
          <w:lang w:val="en-GB" w:bidi="ar-SA"/>
        </w:rPr>
        <w:t>of</w:t>
      </w:r>
      <w:r w:rsidR="003461A0">
        <w:rPr>
          <w:rFonts w:ascii="TimesNewRoman" w:eastAsia="SimSun" w:hAnsi="TimesNewRoman" w:cs="TimesNewRoman"/>
          <w:szCs w:val="24"/>
          <w:lang w:val="en-GB" w:bidi="ar-SA"/>
        </w:rPr>
        <w:t xml:space="preserve"> foreclosure of</w:t>
      </w:r>
      <w:r w:rsidR="00F60B89" w:rsidRPr="00844C55">
        <w:rPr>
          <w:rFonts w:ascii="TimesNewRoman" w:eastAsia="SimSun" w:hAnsi="TimesNewRoman" w:cs="TimesNewRoman"/>
          <w:szCs w:val="24"/>
          <w:lang w:val="en-GB" w:bidi="ar-SA"/>
        </w:rPr>
        <w:t xml:space="preserve"> key input. Th</w:t>
      </w:r>
      <w:r w:rsidR="00F60B89">
        <w:rPr>
          <w:rFonts w:ascii="TimesNewRoman" w:eastAsia="SimSun" w:hAnsi="TimesNewRoman" w:cs="TimesNewRoman"/>
          <w:szCs w:val="24"/>
          <w:lang w:val="en-GB" w:bidi="ar-SA"/>
        </w:rPr>
        <w:t>e purpose of compulsory licensing</w:t>
      </w:r>
      <w:r w:rsidR="00F60B89" w:rsidRPr="00844C55">
        <w:rPr>
          <w:rFonts w:ascii="TimesNewRoman" w:eastAsia="SimSun" w:hAnsi="TimesNewRoman" w:cs="TimesNewRoman"/>
          <w:szCs w:val="24"/>
          <w:lang w:val="en-GB" w:bidi="ar-SA"/>
        </w:rPr>
        <w:t xml:space="preserve"> </w:t>
      </w:r>
      <w:r w:rsidR="003461A0">
        <w:rPr>
          <w:rFonts w:ascii="TimesNewRoman" w:eastAsia="SimSun" w:hAnsi="TimesNewRoman" w:cs="TimesNewRoman"/>
          <w:szCs w:val="24"/>
          <w:lang w:val="en-GB" w:bidi="ar-SA"/>
        </w:rPr>
        <w:t xml:space="preserve">in merger control </w:t>
      </w:r>
      <w:r w:rsidR="00F60B89" w:rsidRPr="00844C55">
        <w:rPr>
          <w:rFonts w:ascii="TimesNewRoman" w:eastAsia="SimSun" w:hAnsi="TimesNewRoman" w:cs="TimesNewRoman"/>
          <w:szCs w:val="24"/>
          <w:lang w:val="en-GB" w:bidi="ar-SA"/>
        </w:rPr>
        <w:t xml:space="preserve">is to alleviate the competition harms </w:t>
      </w:r>
      <w:r w:rsidR="00F60B89">
        <w:rPr>
          <w:rFonts w:ascii="TimesNewRoman" w:eastAsia="SimSun" w:hAnsi="TimesNewRoman" w:cs="TimesNewRoman"/>
          <w:szCs w:val="24"/>
          <w:lang w:val="en-GB" w:bidi="ar-SA"/>
        </w:rPr>
        <w:t xml:space="preserve">that </w:t>
      </w:r>
      <w:r w:rsidR="00F60B89" w:rsidRPr="00844C55">
        <w:rPr>
          <w:rFonts w:ascii="TimesNewRoman" w:eastAsia="SimSun" w:hAnsi="TimesNewRoman" w:cs="TimesNewRoman"/>
          <w:szCs w:val="24"/>
          <w:lang w:val="en-GB" w:bidi="ar-SA"/>
        </w:rPr>
        <w:t xml:space="preserve">might brought by the changes in ownership of an </w:t>
      </w:r>
      <w:r w:rsidR="00606FCB">
        <w:rPr>
          <w:rFonts w:ascii="TimesNewRoman" w:eastAsia="SimSun" w:hAnsi="TimesNewRoman" w:cs="TimesNewRoman"/>
          <w:szCs w:val="24"/>
          <w:lang w:val="en-GB" w:bidi="ar-SA"/>
        </w:rPr>
        <w:t xml:space="preserve">IPR </w:t>
      </w:r>
      <w:r w:rsidR="00F60B89" w:rsidRPr="00844C55">
        <w:rPr>
          <w:rFonts w:ascii="TimesNewRoman" w:eastAsia="SimSun" w:hAnsi="TimesNewRoman" w:cs="TimesNewRoman"/>
          <w:szCs w:val="24"/>
          <w:lang w:val="en-GB" w:bidi="ar-SA"/>
        </w:rPr>
        <w:t>by enabling competitors to adjust to such changes.</w:t>
      </w:r>
      <w:r w:rsidR="00F60B89" w:rsidRPr="00844C55">
        <w:rPr>
          <w:rStyle w:val="FootnoteReference"/>
          <w:rFonts w:ascii="TimesNewRoman" w:eastAsia="SimSun" w:hAnsi="TimesNewRoman" w:cs="TimesNewRoman"/>
          <w:szCs w:val="24"/>
          <w:lang w:val="en-GB" w:bidi="ar-SA"/>
        </w:rPr>
        <w:footnoteReference w:id="70"/>
      </w:r>
      <w:r w:rsidR="00F60B89" w:rsidRPr="00844C55">
        <w:rPr>
          <w:rFonts w:ascii="TimesNewRoman" w:eastAsia="SimSun" w:hAnsi="TimesNewRoman" w:cs="TimesNewRoman"/>
          <w:szCs w:val="24"/>
          <w:lang w:val="en-GB" w:bidi="ar-SA"/>
        </w:rPr>
        <w:t xml:space="preserve"> </w:t>
      </w:r>
      <w:r w:rsidR="008E19B1">
        <w:rPr>
          <w:rFonts w:ascii="TimesNewRoman" w:eastAsia="SimSun" w:hAnsi="TimesNewRoman" w:cs="TimesNewRoman"/>
          <w:szCs w:val="24"/>
          <w:lang w:val="en-GB" w:bidi="ar-SA"/>
        </w:rPr>
        <w:t>Such competition harms are normally a</w:t>
      </w:r>
      <w:r w:rsidR="005B3A9F">
        <w:rPr>
          <w:rFonts w:ascii="TimesNewRoman" w:eastAsia="SimSun" w:hAnsi="TimesNewRoman" w:cs="TimesNewRoman"/>
          <w:szCs w:val="24"/>
          <w:lang w:val="en-GB" w:bidi="ar-SA"/>
        </w:rPr>
        <w:t>ddressed by divestitures</w:t>
      </w:r>
      <w:r w:rsidR="008E19B1">
        <w:rPr>
          <w:rFonts w:ascii="TimesNewRoman" w:eastAsia="SimSun" w:hAnsi="TimesNewRoman" w:cs="TimesNewRoman"/>
          <w:szCs w:val="24"/>
          <w:lang w:val="en-GB" w:bidi="ar-SA"/>
        </w:rPr>
        <w:t xml:space="preserve"> in horizontal mergers</w:t>
      </w:r>
      <w:r w:rsidR="005B3A9F">
        <w:rPr>
          <w:rFonts w:ascii="TimesNewRoman" w:eastAsia="SimSun" w:hAnsi="TimesNewRoman" w:cs="TimesNewRoman"/>
          <w:szCs w:val="24"/>
          <w:lang w:val="en-GB" w:bidi="ar-SA"/>
        </w:rPr>
        <w:t xml:space="preserve"> because of the </w:t>
      </w:r>
      <w:r w:rsidR="004F6A81">
        <w:rPr>
          <w:rFonts w:ascii="TimesNewRoman" w:eastAsia="SimSun" w:hAnsi="TimesNewRoman" w:cs="TimesNewRoman"/>
          <w:szCs w:val="24"/>
          <w:lang w:val="en-GB" w:bidi="ar-SA"/>
        </w:rPr>
        <w:t>durable</w:t>
      </w:r>
      <w:r w:rsidR="005B3A9F">
        <w:rPr>
          <w:rFonts w:ascii="TimesNewRoman" w:eastAsia="SimSun" w:hAnsi="TimesNewRoman" w:cs="TimesNewRoman"/>
          <w:szCs w:val="24"/>
          <w:lang w:val="en-GB" w:bidi="ar-SA"/>
        </w:rPr>
        <w:t xml:space="preserve"> effect of structural remedies</w:t>
      </w:r>
      <w:r w:rsidR="008E19B1">
        <w:rPr>
          <w:rFonts w:ascii="TimesNewRoman" w:eastAsia="SimSun" w:hAnsi="TimesNewRoman" w:cs="TimesNewRoman"/>
          <w:szCs w:val="24"/>
          <w:lang w:val="en-GB" w:bidi="ar-SA"/>
        </w:rPr>
        <w:t xml:space="preserve">. </w:t>
      </w:r>
      <w:r w:rsidR="004F6A81">
        <w:rPr>
          <w:rFonts w:ascii="TimesNewRoman" w:eastAsia="SimSun" w:hAnsi="TimesNewRoman" w:cs="TimesNewRoman"/>
          <w:szCs w:val="24"/>
          <w:lang w:val="en-GB" w:bidi="ar-SA"/>
        </w:rPr>
        <w:t>Behavioural</w:t>
      </w:r>
      <w:r w:rsidR="003461A0">
        <w:rPr>
          <w:rFonts w:ascii="TimesNewRoman" w:eastAsia="SimSun" w:hAnsi="TimesNewRoman" w:cs="TimesNewRoman"/>
          <w:szCs w:val="24"/>
          <w:lang w:val="en-GB" w:bidi="ar-SA"/>
        </w:rPr>
        <w:t xml:space="preserve"> remedies </w:t>
      </w:r>
      <w:r w:rsidR="004814B2">
        <w:rPr>
          <w:rFonts w:ascii="TimesNewRoman" w:eastAsia="SimSun" w:hAnsi="TimesNewRoman" w:cs="TimesNewRoman"/>
          <w:szCs w:val="24"/>
          <w:lang w:val="en-GB" w:bidi="ar-SA"/>
        </w:rPr>
        <w:t xml:space="preserve">are not favourable as they </w:t>
      </w:r>
      <w:r w:rsidR="005B3A9F">
        <w:rPr>
          <w:rFonts w:ascii="TimesNewRoman" w:eastAsia="SimSun" w:hAnsi="TimesNewRoman" w:cs="TimesNewRoman"/>
          <w:szCs w:val="24"/>
          <w:lang w:val="en-GB" w:bidi="ar-SA"/>
        </w:rPr>
        <w:t xml:space="preserve">demand constant monitoring to </w:t>
      </w:r>
      <w:r w:rsidR="004F6A81">
        <w:rPr>
          <w:rFonts w:ascii="TimesNewRoman" w:eastAsia="SimSun" w:hAnsi="TimesNewRoman" w:cs="TimesNewRoman"/>
          <w:szCs w:val="24"/>
          <w:lang w:val="en-GB" w:bidi="ar-SA"/>
        </w:rPr>
        <w:t xml:space="preserve">ensure the anti-competitive effects will not materialise. </w:t>
      </w:r>
      <w:r w:rsidR="008E19B1">
        <w:rPr>
          <w:rFonts w:ascii="TimesNewRoman" w:eastAsia="SimSun" w:hAnsi="TimesNewRoman" w:cs="TimesNewRoman"/>
          <w:szCs w:val="24"/>
          <w:lang w:val="en-GB" w:bidi="ar-SA"/>
        </w:rPr>
        <w:t xml:space="preserve">Compulsory licensing could step in </w:t>
      </w:r>
      <w:r w:rsidR="008E19B1">
        <w:rPr>
          <w:rFonts w:ascii="TimesNewRoman" w:eastAsia="SimSun" w:hAnsi="TimesNewRoman" w:cs="TimesNewRoman"/>
          <w:szCs w:val="24"/>
          <w:lang w:val="en-GB" w:bidi="ar-SA"/>
        </w:rPr>
        <w:lastRenderedPageBreak/>
        <w:t>only when a divestiture is not feasible</w:t>
      </w:r>
      <w:r w:rsidR="004814B2">
        <w:rPr>
          <w:rFonts w:ascii="TimesNewRoman" w:eastAsia="SimSun" w:hAnsi="TimesNewRoman" w:cs="TimesNewRoman"/>
          <w:szCs w:val="24"/>
          <w:lang w:val="en-GB" w:bidi="ar-SA"/>
        </w:rPr>
        <w:t>. As an alternative, a compulsory license</w:t>
      </w:r>
      <w:r w:rsidR="008D010F" w:rsidRPr="008D010F">
        <w:rPr>
          <w:rFonts w:ascii="TimesNewRoman" w:eastAsia="SimSun" w:hAnsi="TimesNewRoman" w:cs="TimesNewRoman"/>
          <w:szCs w:val="24"/>
          <w:lang w:val="en-GB" w:bidi="ar-SA"/>
        </w:rPr>
        <w:t xml:space="preserve"> </w:t>
      </w:r>
      <w:r w:rsidR="008D010F">
        <w:rPr>
          <w:rFonts w:ascii="TimesNewRoman" w:eastAsia="SimSun" w:hAnsi="TimesNewRoman" w:cs="TimesNewRoman"/>
          <w:szCs w:val="24"/>
          <w:lang w:val="en-GB" w:bidi="ar-SA"/>
        </w:rPr>
        <w:t xml:space="preserve">is required to provide a sufficient level of certainty close to a divestiture. </w:t>
      </w:r>
      <w:r w:rsidR="00E04216">
        <w:rPr>
          <w:rFonts w:ascii="TimesNewRoman" w:eastAsia="SimSun" w:hAnsi="TimesNewRoman" w:cs="TimesNewRoman"/>
          <w:szCs w:val="24"/>
          <w:lang w:val="en-GB" w:bidi="ar-SA"/>
        </w:rPr>
        <w:t>That is why the stringent terms were prese</w:t>
      </w:r>
      <w:r w:rsidR="003461A0">
        <w:rPr>
          <w:rFonts w:ascii="TimesNewRoman" w:eastAsia="SimSun" w:hAnsi="TimesNewRoman" w:cs="TimesNewRoman"/>
          <w:szCs w:val="24"/>
          <w:lang w:val="en-GB" w:bidi="ar-SA"/>
        </w:rPr>
        <w:t>nt in the compulsory licences under</w:t>
      </w:r>
      <w:r w:rsidR="00E04216">
        <w:rPr>
          <w:rFonts w:ascii="TimesNewRoman" w:eastAsia="SimSun" w:hAnsi="TimesNewRoman" w:cs="TimesNewRoman"/>
          <w:szCs w:val="24"/>
          <w:lang w:val="en-GB" w:bidi="ar-SA"/>
        </w:rPr>
        <w:t xml:space="preserve"> merger control. </w:t>
      </w:r>
      <w:r w:rsidR="00950A3B">
        <w:rPr>
          <w:rFonts w:ascii="TimesNewRoman" w:eastAsia="SimSun" w:hAnsi="TimesNewRoman" w:cs="TimesNewRoman"/>
          <w:szCs w:val="24"/>
          <w:lang w:val="en-GB" w:bidi="ar-SA"/>
        </w:rPr>
        <w:t xml:space="preserve">Moreover, a divestiture does not consider the merged firm’s incentive to keep investing in the </w:t>
      </w:r>
      <w:r w:rsidR="00606FCB">
        <w:rPr>
          <w:rFonts w:ascii="TimesNewRoman" w:eastAsia="SimSun" w:hAnsi="TimesNewRoman" w:cs="TimesNewRoman"/>
          <w:szCs w:val="24"/>
          <w:lang w:val="en-GB" w:bidi="ar-SA"/>
        </w:rPr>
        <w:t xml:space="preserve">IPRs </w:t>
      </w:r>
      <w:r w:rsidR="00950A3B">
        <w:rPr>
          <w:rFonts w:ascii="TimesNewRoman" w:eastAsia="SimSun" w:hAnsi="TimesNewRoman" w:cs="TimesNewRoman"/>
          <w:szCs w:val="24"/>
          <w:lang w:val="en-GB" w:bidi="ar-SA"/>
        </w:rPr>
        <w:t xml:space="preserve">after the change of ownership. Compulsory licensing, </w:t>
      </w:r>
      <w:r w:rsidR="00DC238F">
        <w:rPr>
          <w:rFonts w:ascii="TimesNewRoman" w:eastAsia="SimSun" w:hAnsi="TimesNewRoman" w:cs="TimesNewRoman"/>
          <w:szCs w:val="24"/>
          <w:lang w:val="en-GB" w:bidi="ar-SA"/>
        </w:rPr>
        <w:t xml:space="preserve">therefore </w:t>
      </w:r>
      <w:r w:rsidR="00950A3B">
        <w:rPr>
          <w:rFonts w:ascii="TimesNewRoman" w:eastAsia="SimSun" w:hAnsi="TimesNewRoman" w:cs="TimesNewRoman"/>
          <w:szCs w:val="24"/>
          <w:lang w:val="en-GB" w:bidi="ar-SA"/>
        </w:rPr>
        <w:t xml:space="preserve">as </w:t>
      </w:r>
      <w:r w:rsidR="00F44CB2">
        <w:rPr>
          <w:rFonts w:ascii="TimesNewRoman" w:eastAsia="SimSun" w:hAnsi="TimesNewRoman" w:cs="TimesNewRoman"/>
          <w:szCs w:val="24"/>
          <w:lang w:val="en-GB" w:bidi="ar-SA"/>
        </w:rPr>
        <w:t>a</w:t>
      </w:r>
      <w:r w:rsidR="00950A3B">
        <w:rPr>
          <w:rFonts w:ascii="TimesNewRoman" w:eastAsia="SimSun" w:hAnsi="TimesNewRoman" w:cs="TimesNewRoman"/>
          <w:szCs w:val="24"/>
          <w:lang w:val="en-GB" w:bidi="ar-SA"/>
        </w:rPr>
        <w:t xml:space="preserve"> less drastic alternative, does not need to </w:t>
      </w:r>
      <w:r w:rsidR="00F44CB2">
        <w:rPr>
          <w:rFonts w:ascii="TimesNewRoman" w:eastAsia="SimSun" w:hAnsi="TimesNewRoman" w:cs="TimesNewRoman"/>
          <w:szCs w:val="24"/>
          <w:lang w:val="en-GB" w:bidi="ar-SA"/>
        </w:rPr>
        <w:t>worry about</w:t>
      </w:r>
      <w:r w:rsidR="00950A3B">
        <w:rPr>
          <w:rFonts w:ascii="TimesNewRoman" w:eastAsia="SimSun" w:hAnsi="TimesNewRoman" w:cs="TimesNewRoman"/>
          <w:szCs w:val="24"/>
          <w:lang w:val="en-GB" w:bidi="ar-SA"/>
        </w:rPr>
        <w:t xml:space="preserve"> this issue</w:t>
      </w:r>
      <w:r w:rsidR="00F44CB2">
        <w:rPr>
          <w:rFonts w:ascii="TimesNewRoman" w:eastAsia="SimSun" w:hAnsi="TimesNewRoman" w:cs="TimesNewRoman"/>
          <w:szCs w:val="24"/>
          <w:lang w:val="en-GB" w:bidi="ar-SA"/>
        </w:rPr>
        <w:t xml:space="preserve"> either as long as it can remove the competition concern</w:t>
      </w:r>
      <w:r w:rsidR="00950A3B">
        <w:rPr>
          <w:rFonts w:ascii="TimesNewRoman" w:eastAsia="SimSun" w:hAnsi="TimesNewRoman" w:cs="TimesNewRoman"/>
          <w:szCs w:val="24"/>
          <w:lang w:val="en-GB" w:bidi="ar-SA"/>
        </w:rPr>
        <w:t xml:space="preserve">. </w:t>
      </w:r>
      <w:r w:rsidR="00F51789">
        <w:rPr>
          <w:rFonts w:ascii="TimesNewRoman" w:eastAsia="SimSun" w:hAnsi="TimesNewRoman" w:cs="TimesNewRoman"/>
          <w:szCs w:val="24"/>
          <w:lang w:val="en-GB" w:bidi="ar-SA"/>
        </w:rPr>
        <w:t>On the other hand</w:t>
      </w:r>
      <w:r w:rsidR="00E04216">
        <w:rPr>
          <w:rFonts w:ascii="TimesNewRoman" w:eastAsia="SimSun" w:hAnsi="TimesNewRoman" w:cs="TimesNewRoman"/>
          <w:szCs w:val="24"/>
          <w:lang w:val="en-GB" w:bidi="ar-SA"/>
        </w:rPr>
        <w:t xml:space="preserve">, </w:t>
      </w:r>
      <w:r w:rsidR="006C7E65">
        <w:rPr>
          <w:rFonts w:ascii="TimesNewRoman" w:eastAsia="SimSun" w:hAnsi="TimesNewRoman" w:cs="TimesNewRoman"/>
          <w:szCs w:val="24"/>
          <w:lang w:val="en-GB" w:bidi="ar-SA"/>
        </w:rPr>
        <w:t xml:space="preserve">under Article 102, remedies </w:t>
      </w:r>
      <w:r w:rsidR="006C7E65">
        <w:rPr>
          <w:lang w:val="en-GB"/>
        </w:rPr>
        <w:t>can be taken to the extent</w:t>
      </w:r>
      <w:r w:rsidR="006C7E65" w:rsidRPr="009D023D">
        <w:rPr>
          <w:rFonts w:eastAsia="SimSun" w:cs="Cordia New"/>
          <w:lang w:val="en-GB"/>
        </w:rPr>
        <w:t xml:space="preserve"> to effectively put an end to the </w:t>
      </w:r>
      <w:r w:rsidR="005029A8">
        <w:rPr>
          <w:rFonts w:eastAsia="SimSun" w:cs="Cordia New"/>
          <w:lang w:val="en-GB"/>
        </w:rPr>
        <w:t>abusive conduct</w:t>
      </w:r>
      <w:r w:rsidR="006C7E65">
        <w:rPr>
          <w:lang w:val="en-GB"/>
        </w:rPr>
        <w:t xml:space="preserve">. </w:t>
      </w:r>
      <w:r w:rsidR="006C7E65">
        <w:rPr>
          <w:rFonts w:ascii="TimesNewRoman" w:eastAsia="SimSun" w:hAnsi="TimesNewRoman" w:cs="TimesNewRoman"/>
          <w:szCs w:val="24"/>
          <w:lang w:val="en-GB" w:bidi="ar-SA"/>
        </w:rPr>
        <w:t>D</w:t>
      </w:r>
      <w:r w:rsidR="00E04216">
        <w:rPr>
          <w:rFonts w:ascii="TimesNewRoman" w:eastAsia="SimSun" w:hAnsi="TimesNewRoman" w:cs="TimesNewRoman"/>
          <w:szCs w:val="24"/>
          <w:lang w:val="en-GB" w:bidi="ar-SA"/>
        </w:rPr>
        <w:t xml:space="preserve">ivestitures have never been </w:t>
      </w:r>
      <w:r w:rsidR="009301A4">
        <w:rPr>
          <w:rFonts w:ascii="TimesNewRoman" w:eastAsia="SimSun" w:hAnsi="TimesNewRoman" w:cs="TimesNewRoman"/>
          <w:szCs w:val="24"/>
          <w:lang w:val="en-GB" w:bidi="ar-SA"/>
        </w:rPr>
        <w:t>considered</w:t>
      </w:r>
      <w:r w:rsidR="00E04216">
        <w:rPr>
          <w:rFonts w:ascii="TimesNewRoman" w:eastAsia="SimSun" w:hAnsi="TimesNewRoman" w:cs="TimesNewRoman"/>
          <w:szCs w:val="24"/>
          <w:lang w:val="en-GB" w:bidi="ar-SA"/>
        </w:rPr>
        <w:t xml:space="preserve"> in IP related a</w:t>
      </w:r>
      <w:r w:rsidR="00F51789">
        <w:rPr>
          <w:rFonts w:ascii="TimesNewRoman" w:eastAsia="SimSun" w:hAnsi="TimesNewRoman" w:cs="TimesNewRoman"/>
          <w:szCs w:val="24"/>
          <w:lang w:val="en-GB" w:bidi="ar-SA"/>
        </w:rPr>
        <w:t>ntitrust</w:t>
      </w:r>
      <w:r w:rsidR="00E04216">
        <w:rPr>
          <w:rFonts w:ascii="TimesNewRoman" w:eastAsia="SimSun" w:hAnsi="TimesNewRoman" w:cs="TimesNewRoman"/>
          <w:szCs w:val="24"/>
          <w:lang w:val="en-GB" w:bidi="ar-SA"/>
        </w:rPr>
        <w:t xml:space="preserve"> cases. </w:t>
      </w:r>
      <w:r w:rsidR="005A2C41">
        <w:rPr>
          <w:rFonts w:ascii="TimesNewRoman" w:eastAsia="SimSun" w:hAnsi="TimesNewRoman" w:cs="TimesNewRoman"/>
          <w:szCs w:val="24"/>
          <w:lang w:val="en-GB" w:bidi="ar-SA"/>
        </w:rPr>
        <w:t xml:space="preserve">Without the benchmark of a divestiture, </w:t>
      </w:r>
      <w:r w:rsidR="005A2C41" w:rsidRPr="00844C55">
        <w:rPr>
          <w:rFonts w:ascii="TimesNewRoman" w:eastAsia="SimSun" w:hAnsi="TimesNewRoman" w:cs="TimesNewRoman"/>
          <w:szCs w:val="24"/>
          <w:lang w:val="en-GB" w:bidi="ar-SA"/>
        </w:rPr>
        <w:t xml:space="preserve">compulsory licensing </w:t>
      </w:r>
      <w:r w:rsidR="005029A8">
        <w:rPr>
          <w:rFonts w:ascii="TimesNewRoman" w:eastAsia="SimSun" w:hAnsi="TimesNewRoman" w:cs="TimesNewRoman"/>
          <w:szCs w:val="24"/>
          <w:lang w:val="en-GB" w:bidi="ar-SA"/>
        </w:rPr>
        <w:t xml:space="preserve">antitrust remedy should carefully </w:t>
      </w:r>
      <w:r w:rsidR="00D65B50">
        <w:rPr>
          <w:rFonts w:ascii="TimesNewRoman" w:eastAsia="SimSun" w:hAnsi="TimesNewRoman" w:cs="TimesNewRoman"/>
          <w:szCs w:val="24"/>
          <w:lang w:val="en-GB" w:bidi="ar-SA"/>
        </w:rPr>
        <w:t xml:space="preserve">assess how </w:t>
      </w:r>
      <w:r w:rsidR="00671FFE">
        <w:rPr>
          <w:rFonts w:ascii="TimesNewRoman" w:eastAsia="SimSun" w:hAnsi="TimesNewRoman" w:cs="TimesNewRoman"/>
          <w:szCs w:val="24"/>
          <w:lang w:val="en-GB" w:bidi="ar-SA"/>
        </w:rPr>
        <w:t xml:space="preserve">rigid it can be as to remove </w:t>
      </w:r>
      <w:r w:rsidR="00671FFE">
        <w:rPr>
          <w:rFonts w:ascii="TimesNewRoman" w:eastAsia="SimSun" w:hAnsi="TimesNewRoman" w:cs="TimesNewRoman" w:hint="eastAsia"/>
          <w:szCs w:val="24"/>
          <w:lang w:val="en-GB" w:bidi="ar-SA"/>
        </w:rPr>
        <w:t>an</w:t>
      </w:r>
      <w:r w:rsidR="00D65B50">
        <w:rPr>
          <w:rFonts w:ascii="TimesNewRoman" w:eastAsia="SimSun" w:hAnsi="TimesNewRoman" w:cs="TimesNewRoman"/>
          <w:szCs w:val="24"/>
          <w:lang w:val="en-GB" w:bidi="ar-SA"/>
        </w:rPr>
        <w:t xml:space="preserve"> infringement</w:t>
      </w:r>
      <w:r w:rsidR="005A2C41" w:rsidRPr="00844C55">
        <w:rPr>
          <w:rFonts w:ascii="TimesNewRoman" w:eastAsia="SimSun" w:hAnsi="TimesNewRoman" w:cs="TimesNewRoman"/>
          <w:szCs w:val="24"/>
          <w:lang w:val="en-GB" w:bidi="ar-SA"/>
        </w:rPr>
        <w:t>.</w:t>
      </w:r>
      <w:r w:rsidR="005A2C41">
        <w:rPr>
          <w:rFonts w:ascii="TimesNewRoman" w:eastAsia="SimSun" w:hAnsi="TimesNewRoman" w:cs="TimesNewRoman"/>
          <w:szCs w:val="24"/>
          <w:lang w:val="en-GB" w:bidi="ar-SA"/>
        </w:rPr>
        <w:t xml:space="preserve"> </w:t>
      </w:r>
      <w:r w:rsidR="009D0D19">
        <w:rPr>
          <w:rFonts w:ascii="TimesNewRoman" w:eastAsia="SimSun" w:hAnsi="TimesNewRoman" w:cs="TimesNewRoman"/>
          <w:szCs w:val="24"/>
          <w:lang w:val="en-GB" w:bidi="ar-SA"/>
        </w:rPr>
        <w:t xml:space="preserve">There </w:t>
      </w:r>
      <w:r w:rsidR="007A0B0A">
        <w:rPr>
          <w:rFonts w:ascii="TimesNewRoman" w:eastAsia="SimSun" w:hAnsi="TimesNewRoman" w:cs="TimesNewRoman"/>
          <w:szCs w:val="24"/>
          <w:lang w:val="en-GB" w:bidi="ar-SA"/>
        </w:rPr>
        <w:t>is always such argument</w:t>
      </w:r>
      <w:r w:rsidR="009D0D19">
        <w:rPr>
          <w:rFonts w:ascii="TimesNewRoman" w:eastAsia="SimSun" w:hAnsi="TimesNewRoman" w:cs="TimesNewRoman"/>
          <w:szCs w:val="24"/>
          <w:lang w:val="en-GB" w:bidi="ar-SA"/>
        </w:rPr>
        <w:t xml:space="preserve"> </w:t>
      </w:r>
      <w:r w:rsidR="007A0B0A">
        <w:rPr>
          <w:rFonts w:ascii="TimesNewRoman" w:eastAsia="SimSun" w:hAnsi="TimesNewRoman" w:cs="TimesNewRoman"/>
          <w:szCs w:val="24"/>
          <w:lang w:val="en-GB" w:bidi="ar-SA"/>
        </w:rPr>
        <w:t xml:space="preserve">that the competition authorities </w:t>
      </w:r>
      <w:r w:rsidR="009D0D19">
        <w:rPr>
          <w:rFonts w:ascii="TimesNewRoman" w:eastAsia="SimSun" w:hAnsi="TimesNewRoman" w:cs="TimesNewRoman"/>
          <w:szCs w:val="24"/>
          <w:lang w:val="en-GB" w:bidi="ar-SA"/>
        </w:rPr>
        <w:t xml:space="preserve">should minimize the intervention of compulsory licensing in the </w:t>
      </w:r>
      <w:r w:rsidR="00D8492E">
        <w:rPr>
          <w:rFonts w:ascii="TimesNewRoman" w:eastAsia="SimSun" w:hAnsi="TimesNewRoman" w:cs="TimesNewRoman"/>
          <w:szCs w:val="24"/>
          <w:lang w:val="en-GB" w:bidi="ar-SA"/>
        </w:rPr>
        <w:t xml:space="preserve">IPR </w:t>
      </w:r>
      <w:r w:rsidR="00671FFE">
        <w:rPr>
          <w:rFonts w:ascii="TimesNewRoman" w:eastAsia="SimSun" w:hAnsi="TimesNewRoman" w:cs="TimesNewRoman" w:hint="eastAsia"/>
          <w:szCs w:val="24"/>
          <w:lang w:val="en-GB" w:bidi="ar-SA"/>
        </w:rPr>
        <w:t>involved</w:t>
      </w:r>
      <w:r w:rsidR="00D8492E">
        <w:rPr>
          <w:rFonts w:ascii="TimesNewRoman" w:eastAsia="SimSun" w:hAnsi="TimesNewRoman" w:cs="TimesNewRoman"/>
          <w:szCs w:val="24"/>
          <w:lang w:val="en-GB" w:bidi="ar-SA"/>
        </w:rPr>
        <w:t xml:space="preserve"> </w:t>
      </w:r>
      <w:r w:rsidR="009D0D19">
        <w:rPr>
          <w:rFonts w:ascii="TimesNewRoman" w:eastAsia="SimSun" w:hAnsi="TimesNewRoman" w:cs="TimesNewRoman"/>
          <w:szCs w:val="24"/>
          <w:lang w:val="en-GB" w:bidi="ar-SA"/>
        </w:rPr>
        <w:t>business</w:t>
      </w:r>
      <w:r w:rsidR="00762A19">
        <w:rPr>
          <w:rFonts w:ascii="TimesNewRoman" w:eastAsia="SimSun" w:hAnsi="TimesNewRoman" w:cs="TimesNewRoman"/>
          <w:szCs w:val="24"/>
          <w:lang w:val="en-GB" w:bidi="ar-SA"/>
        </w:rPr>
        <w:t xml:space="preserve"> to avoid blocking innovation</w:t>
      </w:r>
      <w:r w:rsidR="009D0D19">
        <w:rPr>
          <w:rFonts w:ascii="TimesNewRoman" w:eastAsia="SimSun" w:hAnsi="TimesNewRoman" w:cs="TimesNewRoman"/>
          <w:szCs w:val="24"/>
          <w:lang w:val="en-GB" w:bidi="ar-SA"/>
        </w:rPr>
        <w:t xml:space="preserve">. </w:t>
      </w:r>
    </w:p>
    <w:p w:rsidR="00315528" w:rsidRDefault="00762A19" w:rsidP="00315528">
      <w:pPr>
        <w:rPr>
          <w:rFonts w:eastAsia="SimSun"/>
          <w:lang w:val="en-GB"/>
        </w:rPr>
      </w:pPr>
      <w:r>
        <w:rPr>
          <w:rFonts w:ascii="TimesNewRoman" w:eastAsia="SimSun" w:hAnsi="TimesNewRoman" w:cs="TimesNewRoman"/>
          <w:szCs w:val="24"/>
          <w:lang w:val="en-GB" w:bidi="ar-SA"/>
        </w:rPr>
        <w:t xml:space="preserve">Another practical difficulty of compulsory licensing is that its compliance requires constant monitoring measures. </w:t>
      </w:r>
      <w:r w:rsidR="00BD017C">
        <w:rPr>
          <w:rFonts w:ascii="TimesNewRoman" w:eastAsia="SimSun" w:hAnsi="TimesNewRoman" w:cs="TimesNewRoman"/>
          <w:szCs w:val="24"/>
          <w:lang w:val="en-GB" w:bidi="ar-SA"/>
        </w:rPr>
        <w:t xml:space="preserve">As explained in </w:t>
      </w:r>
      <w:proofErr w:type="spellStart"/>
      <w:r w:rsidR="00BD017C" w:rsidRPr="00BD017C">
        <w:rPr>
          <w:rFonts w:ascii="TimesNewRoman" w:eastAsia="SimSun" w:hAnsi="TimesNewRoman" w:cs="TimesNewRoman"/>
          <w:i/>
          <w:iCs/>
          <w:szCs w:val="24"/>
          <w:lang w:val="en-GB" w:bidi="ar-SA"/>
        </w:rPr>
        <w:t>Trinko</w:t>
      </w:r>
      <w:proofErr w:type="spellEnd"/>
      <w:r w:rsidR="00BD017C">
        <w:rPr>
          <w:rFonts w:ascii="TimesNewRoman" w:eastAsia="SimSun" w:hAnsi="TimesNewRoman" w:cs="TimesNewRoman"/>
          <w:szCs w:val="24"/>
          <w:lang w:val="en-GB" w:bidi="ar-SA"/>
        </w:rPr>
        <w:t xml:space="preserve">, </w:t>
      </w:r>
      <w:r w:rsidR="00E57546">
        <w:rPr>
          <w:rFonts w:ascii="TimesNewRoman" w:hAnsi="TimesNewRoman" w:cs="TimesNewRoman" w:hint="eastAsia"/>
          <w:szCs w:val="24"/>
          <w:lang w:val="en-GB" w:bidi="ar-SA"/>
        </w:rPr>
        <w:t xml:space="preserve">a regulatory agency should not </w:t>
      </w:r>
      <w:r w:rsidR="00993B11">
        <w:rPr>
          <w:rFonts w:ascii="TimesNewRoman" w:eastAsia="SimSun" w:hAnsi="TimesNewRoman" w:cs="TimesNewRoman" w:hint="eastAsia"/>
          <w:szCs w:val="24"/>
          <w:lang w:val="en-GB" w:bidi="ar-SA"/>
        </w:rPr>
        <w:t xml:space="preserve">impose a compulsory licensing remedy without reasonable monitoring measures, </w:t>
      </w:r>
      <w:r w:rsidR="00993B11">
        <w:rPr>
          <w:rFonts w:ascii="TimesNewRoman" w:eastAsia="SimSun" w:hAnsi="TimesNewRoman" w:cs="TimesNewRoman"/>
          <w:szCs w:val="24"/>
          <w:lang w:val="en-GB" w:bidi="ar-SA"/>
        </w:rPr>
        <w:t>because</w:t>
      </w:r>
      <w:r w:rsidR="00993B11">
        <w:rPr>
          <w:rFonts w:ascii="TimesNewRoman" w:eastAsia="SimSun" w:hAnsi="TimesNewRoman" w:cs="TimesNewRoman" w:hint="eastAsia"/>
          <w:szCs w:val="24"/>
          <w:lang w:val="en-GB" w:bidi="ar-SA"/>
        </w:rPr>
        <w:t xml:space="preserve"> it would make courts to assume </w:t>
      </w:r>
      <w:r w:rsidR="00993B11">
        <w:rPr>
          <w:rFonts w:eastAsia="SimSun"/>
          <w:lang w:val="en-GB"/>
        </w:rPr>
        <w:t>the day-to-day control characteristic of a regulatory agency</w:t>
      </w:r>
      <w:r w:rsidR="00993B11">
        <w:rPr>
          <w:rFonts w:eastAsia="SimSun" w:hint="eastAsia"/>
          <w:lang w:val="en-GB"/>
        </w:rPr>
        <w:t>.</w:t>
      </w:r>
      <w:r w:rsidR="00315528">
        <w:rPr>
          <w:rStyle w:val="FootnoteReference"/>
          <w:rFonts w:eastAsia="SimSun"/>
          <w:lang w:val="en-GB"/>
        </w:rPr>
        <w:footnoteReference w:id="71"/>
      </w:r>
      <w:r w:rsidR="00BD017C">
        <w:rPr>
          <w:rFonts w:eastAsia="SimSun"/>
          <w:lang w:val="en-GB"/>
        </w:rPr>
        <w:t xml:space="preserve"> </w:t>
      </w:r>
    </w:p>
    <w:p w:rsidR="00682B55" w:rsidRPr="00682B55" w:rsidRDefault="00682B55" w:rsidP="00682B55">
      <w:pPr>
        <w:pStyle w:val="Heading2"/>
        <w:rPr>
          <w:rFonts w:eastAsia="SimSun"/>
          <w:lang w:val="en-GB" w:bidi="ar-SA"/>
        </w:rPr>
      </w:pPr>
      <w:r w:rsidRPr="00682B55">
        <w:rPr>
          <w:rFonts w:eastAsia="SimSun"/>
          <w:lang w:val="en-GB" w:bidi="ar-SA"/>
        </w:rPr>
        <w:t>Compulsory Licensing for High-tech Market</w:t>
      </w:r>
    </w:p>
    <w:p w:rsidR="006A55A4" w:rsidRPr="00844C55" w:rsidRDefault="00682B55" w:rsidP="006A55A4">
      <w:pPr>
        <w:rPr>
          <w:lang w:val="en-GB" w:bidi="ar-SA"/>
        </w:rPr>
      </w:pPr>
      <w:r>
        <w:rPr>
          <w:lang w:val="en-GB"/>
        </w:rPr>
        <w:t>The most centred criticism of compulsory licensing as a competition remedy concerns high-</w:t>
      </w:r>
      <w:r w:rsidRPr="00EE783C">
        <w:rPr>
          <w:lang w:val="en-GB"/>
        </w:rPr>
        <w:t>tech markets where present technology can be quickly outmoded and market share may be ephemeral. As high-tech markets are extremely innovative, new generations of products</w:t>
      </w:r>
      <w:r w:rsidRPr="00844C55">
        <w:rPr>
          <w:lang w:val="en-GB"/>
        </w:rPr>
        <w:t xml:space="preserve"> appear more frequently</w:t>
      </w:r>
      <w:r>
        <w:rPr>
          <w:lang w:val="en-GB"/>
        </w:rPr>
        <w:t xml:space="preserve"> and rapidly</w:t>
      </w:r>
      <w:r w:rsidRPr="00844C55">
        <w:rPr>
          <w:lang w:val="en-GB"/>
        </w:rPr>
        <w:t xml:space="preserve"> in high-tech industries than in </w:t>
      </w:r>
      <w:r>
        <w:rPr>
          <w:lang w:val="en-GB"/>
        </w:rPr>
        <w:t>others</w:t>
      </w:r>
      <w:r w:rsidRPr="00844C55">
        <w:rPr>
          <w:lang w:val="en-GB"/>
        </w:rPr>
        <w:t>.</w:t>
      </w:r>
      <w:r>
        <w:rPr>
          <w:lang w:val="en-GB"/>
        </w:rPr>
        <w:t xml:space="preserve"> </w:t>
      </w:r>
      <w:r>
        <w:rPr>
          <w:rFonts w:eastAsia="SimSun"/>
          <w:lang w:val="en-GB"/>
        </w:rPr>
        <w:t>I</w:t>
      </w:r>
      <w:r>
        <w:rPr>
          <w:rFonts w:eastAsia="SimSun" w:hint="eastAsia"/>
          <w:lang w:val="en-GB"/>
        </w:rPr>
        <w:t xml:space="preserve">n such </w:t>
      </w:r>
      <w:r>
        <w:rPr>
          <w:rFonts w:eastAsia="SimSun"/>
          <w:lang w:val="en-GB"/>
        </w:rPr>
        <w:t>market</w:t>
      </w:r>
      <w:r>
        <w:rPr>
          <w:rFonts w:eastAsia="SimSun" w:hint="eastAsia"/>
          <w:lang w:val="en-GB"/>
        </w:rPr>
        <w:t>s, d</w:t>
      </w:r>
      <w:r>
        <w:rPr>
          <w:lang w:val="en-GB"/>
        </w:rPr>
        <w:t xml:space="preserve">ominance is harder to maintain with the quick appearance of new products which would </w:t>
      </w:r>
      <w:r w:rsidR="009544EB">
        <w:rPr>
          <w:lang w:val="en-GB"/>
        </w:rPr>
        <w:t>open the way of new competitors to override the dominant firm</w:t>
      </w:r>
      <w:r w:rsidRPr="00844C55">
        <w:rPr>
          <w:lang w:val="en-GB"/>
        </w:rPr>
        <w:t>.</w:t>
      </w:r>
      <w:r>
        <w:rPr>
          <w:lang w:val="en-GB"/>
        </w:rPr>
        <w:t xml:space="preserve"> </w:t>
      </w:r>
      <w:r>
        <w:rPr>
          <w:rFonts w:hint="eastAsia"/>
          <w:lang w:val="en-GB"/>
        </w:rPr>
        <w:t>Compulsory licensing</w:t>
      </w:r>
      <w:r>
        <w:rPr>
          <w:rFonts w:eastAsia="SimSun" w:hint="eastAsia"/>
          <w:lang w:val="en-GB"/>
        </w:rPr>
        <w:t>, therefore,</w:t>
      </w:r>
      <w:r>
        <w:rPr>
          <w:rFonts w:hint="eastAsia"/>
          <w:lang w:val="en-GB"/>
        </w:rPr>
        <w:t xml:space="preserve"> could be </w:t>
      </w:r>
      <w:r>
        <w:rPr>
          <w:lang w:val="en-GB"/>
        </w:rPr>
        <w:t xml:space="preserve">unnecessary </w:t>
      </w:r>
      <w:r>
        <w:rPr>
          <w:rFonts w:hint="eastAsia"/>
          <w:lang w:val="en-GB"/>
        </w:rPr>
        <w:t>in case that</w:t>
      </w:r>
      <w:r>
        <w:rPr>
          <w:lang w:val="en-GB"/>
        </w:rPr>
        <w:t xml:space="preserve"> </w:t>
      </w:r>
      <w:r w:rsidR="0078572B">
        <w:rPr>
          <w:rFonts w:eastAsia="SimSun" w:hint="eastAsia"/>
          <w:lang w:val="en-GB"/>
        </w:rPr>
        <w:t xml:space="preserve">the </w:t>
      </w:r>
      <w:r w:rsidR="0078572B">
        <w:rPr>
          <w:rFonts w:ascii="TimesNewRoman" w:eastAsia="SimSun" w:hAnsi="TimesNewRoman" w:cs="TimesNewRoman" w:hint="eastAsia"/>
          <w:szCs w:val="24"/>
          <w:lang w:val="en-GB" w:bidi="ar-SA"/>
        </w:rPr>
        <w:t>concerned</w:t>
      </w:r>
      <w:r w:rsidR="0078572B" w:rsidRPr="00844C55">
        <w:rPr>
          <w:rFonts w:ascii="TimesNewRoman" w:hAnsi="TimesNewRoman" w:cs="TimesNewRoman"/>
          <w:szCs w:val="24"/>
          <w:lang w:val="en-GB" w:bidi="ar-SA"/>
        </w:rPr>
        <w:t xml:space="preserve"> </w:t>
      </w:r>
      <w:r w:rsidR="00606FCB">
        <w:rPr>
          <w:rFonts w:ascii="TimesNewRoman" w:hAnsi="TimesNewRoman" w:cs="TimesNewRoman"/>
          <w:szCs w:val="24"/>
          <w:lang w:val="en-GB" w:bidi="ar-SA"/>
        </w:rPr>
        <w:t xml:space="preserve">IPRs </w:t>
      </w:r>
      <w:r>
        <w:rPr>
          <w:rFonts w:ascii="TimesNewRoman" w:hAnsi="TimesNewRoman" w:cs="TimesNewRoman"/>
          <w:szCs w:val="24"/>
          <w:lang w:val="en-GB" w:bidi="ar-SA"/>
        </w:rPr>
        <w:t xml:space="preserve">lose their </w:t>
      </w:r>
      <w:r>
        <w:rPr>
          <w:rFonts w:ascii="TimesNewRoman" w:hAnsi="TimesNewRoman" w:cs="TimesNewRoman" w:hint="eastAsia"/>
          <w:szCs w:val="24"/>
          <w:lang w:val="en-GB" w:bidi="ar-SA"/>
        </w:rPr>
        <w:t>market positions</w:t>
      </w:r>
      <w:r w:rsidRPr="00844C55">
        <w:rPr>
          <w:rFonts w:ascii="TimesNewRoman" w:hAnsi="TimesNewRoman" w:cs="TimesNewRoman"/>
          <w:szCs w:val="24"/>
          <w:lang w:val="en-GB" w:bidi="ar-SA"/>
        </w:rPr>
        <w:t xml:space="preserve"> in later years</w:t>
      </w:r>
      <w:r>
        <w:rPr>
          <w:rFonts w:ascii="TimesNewRoman" w:hAnsi="TimesNewRoman" w:cs="TimesNewRoman"/>
          <w:szCs w:val="24"/>
          <w:lang w:val="en-GB" w:bidi="ar-SA"/>
        </w:rPr>
        <w:t xml:space="preserve"> thanks to </w:t>
      </w:r>
      <w:r w:rsidRPr="00844C55">
        <w:rPr>
          <w:rFonts w:ascii="TimesNewRoman" w:hAnsi="TimesNewRoman" w:cs="TimesNewRoman"/>
          <w:szCs w:val="24"/>
          <w:lang w:val="en-GB" w:bidi="ar-SA"/>
        </w:rPr>
        <w:t xml:space="preserve">technological advancement. </w:t>
      </w:r>
      <w:r>
        <w:rPr>
          <w:rFonts w:ascii="TimesNewRoman" w:hAnsi="TimesNewRoman" w:cs="TimesNewRoman"/>
          <w:szCs w:val="24"/>
          <w:lang w:val="en-GB" w:bidi="ar-SA"/>
        </w:rPr>
        <w:t>M</w:t>
      </w:r>
      <w:r>
        <w:rPr>
          <w:rFonts w:ascii="TimesNewRoman" w:hAnsi="TimesNewRoman" w:cs="TimesNewRoman" w:hint="eastAsia"/>
          <w:szCs w:val="24"/>
          <w:lang w:val="en-GB" w:bidi="ar-SA"/>
        </w:rPr>
        <w:t>oreover, i</w:t>
      </w:r>
      <w:r>
        <w:rPr>
          <w:lang w:val="en-GB"/>
        </w:rPr>
        <w:t xml:space="preserve">t is argued that compulsory licensing </w:t>
      </w:r>
      <w:r>
        <w:rPr>
          <w:rFonts w:eastAsia="SimSun" w:hint="eastAsia"/>
          <w:lang w:val="en-GB"/>
        </w:rPr>
        <w:t>might</w:t>
      </w:r>
      <w:r>
        <w:rPr>
          <w:lang w:val="en-GB"/>
        </w:rPr>
        <w:t xml:space="preserve"> intervene with the high-speed dynamic competition</w:t>
      </w:r>
      <w:r>
        <w:rPr>
          <w:rFonts w:eastAsia="SimSun" w:hint="eastAsia"/>
          <w:lang w:val="en-GB"/>
        </w:rPr>
        <w:t xml:space="preserve"> in </w:t>
      </w:r>
      <w:r>
        <w:rPr>
          <w:rFonts w:eastAsia="SimSun"/>
          <w:lang w:val="en-GB"/>
        </w:rPr>
        <w:t>the</w:t>
      </w:r>
      <w:r>
        <w:rPr>
          <w:rFonts w:eastAsia="SimSun" w:hint="eastAsia"/>
          <w:lang w:val="en-GB"/>
        </w:rPr>
        <w:t xml:space="preserve"> concerned </w:t>
      </w:r>
      <w:r>
        <w:rPr>
          <w:rFonts w:eastAsia="SimSun"/>
          <w:lang w:val="en-GB"/>
        </w:rPr>
        <w:t>market</w:t>
      </w:r>
      <w:r w:rsidR="006A55A4">
        <w:rPr>
          <w:rFonts w:eastAsia="SimSun"/>
          <w:lang w:val="en-GB"/>
        </w:rPr>
        <w:t xml:space="preserve"> and result in suboptimal technology choice</w:t>
      </w:r>
      <w:r>
        <w:rPr>
          <w:rFonts w:hint="eastAsia"/>
          <w:lang w:val="en-GB"/>
        </w:rPr>
        <w:t>.</w:t>
      </w:r>
      <w:r w:rsidR="008F73D7" w:rsidRPr="008F73D7">
        <w:rPr>
          <w:lang w:val="en-GB"/>
        </w:rPr>
        <w:t xml:space="preserve"> </w:t>
      </w:r>
      <w:r w:rsidR="00DA26F2">
        <w:rPr>
          <w:lang w:val="en-GB"/>
        </w:rPr>
        <w:t>Hence, i</w:t>
      </w:r>
      <w:r w:rsidR="006A55A4" w:rsidRPr="00844C55">
        <w:rPr>
          <w:lang w:val="en-GB" w:bidi="ar-SA"/>
        </w:rPr>
        <w:t xml:space="preserve">f a </w:t>
      </w:r>
      <w:r w:rsidR="00DA26F2">
        <w:rPr>
          <w:lang w:val="en-GB" w:bidi="ar-SA"/>
        </w:rPr>
        <w:t>dominant</w:t>
      </w:r>
      <w:r w:rsidR="006A55A4" w:rsidRPr="00844C55">
        <w:rPr>
          <w:lang w:val="en-GB" w:bidi="ar-SA"/>
        </w:rPr>
        <w:t xml:space="preserve"> firm </w:t>
      </w:r>
      <w:r w:rsidR="00DA26F2">
        <w:rPr>
          <w:lang w:val="en-GB" w:bidi="ar-SA"/>
        </w:rPr>
        <w:t>is</w:t>
      </w:r>
      <w:r w:rsidR="006A55A4" w:rsidRPr="00844C55">
        <w:rPr>
          <w:lang w:val="en-GB" w:bidi="ar-SA"/>
        </w:rPr>
        <w:t xml:space="preserve"> continuously contested by others who thrive to become the market leader through successful innov</w:t>
      </w:r>
      <w:r w:rsidR="00DA26F2">
        <w:rPr>
          <w:lang w:val="en-GB" w:bidi="ar-SA"/>
        </w:rPr>
        <w:t>ation,</w:t>
      </w:r>
      <w:r w:rsidR="006A55A4" w:rsidRPr="00844C55">
        <w:rPr>
          <w:lang w:val="en-GB" w:bidi="ar-SA"/>
        </w:rPr>
        <w:t xml:space="preserve"> </w:t>
      </w:r>
      <w:r w:rsidR="00DA26F2">
        <w:rPr>
          <w:lang w:val="en-GB" w:bidi="ar-SA"/>
        </w:rPr>
        <w:lastRenderedPageBreak/>
        <w:t>competition law could step aside a</w:t>
      </w:r>
      <w:r w:rsidR="0078572B">
        <w:rPr>
          <w:rFonts w:eastAsia="SimSun" w:hint="eastAsia"/>
          <w:lang w:val="en-GB" w:bidi="ar-SA"/>
        </w:rPr>
        <w:t xml:space="preserve">nd let </w:t>
      </w:r>
      <w:r w:rsidR="00DA26F2">
        <w:rPr>
          <w:lang w:val="en-GB" w:bidi="ar-SA"/>
        </w:rPr>
        <w:t xml:space="preserve">the market forces </w:t>
      </w:r>
      <w:r w:rsidR="006A55A4" w:rsidRPr="00844C55">
        <w:rPr>
          <w:lang w:val="en-GB" w:bidi="ar-SA"/>
        </w:rPr>
        <w:t>single out inefficient actors and strategies.</w:t>
      </w:r>
      <w:r w:rsidR="006A55A4" w:rsidRPr="00844C55">
        <w:rPr>
          <w:rStyle w:val="FootnoteReference"/>
          <w:lang w:val="en-GB" w:bidi="ar-SA"/>
        </w:rPr>
        <w:footnoteReference w:id="72"/>
      </w:r>
      <w:r w:rsidR="006A55A4" w:rsidRPr="00844C55">
        <w:rPr>
          <w:lang w:val="en-GB" w:bidi="ar-SA"/>
        </w:rPr>
        <w:t xml:space="preserve"> </w:t>
      </w:r>
    </w:p>
    <w:p w:rsidR="00682B55" w:rsidRPr="00E1730F" w:rsidRDefault="00682B55" w:rsidP="00682B55">
      <w:pPr>
        <w:rPr>
          <w:rFonts w:ascii="EUAlbertina" w:hAnsi="EUAlbertina" w:cs="EUAlbertina"/>
          <w:sz w:val="19"/>
          <w:szCs w:val="19"/>
          <w:lang w:val="en-GB"/>
        </w:rPr>
      </w:pPr>
      <w:r>
        <w:rPr>
          <w:rFonts w:eastAsia="SimSun"/>
          <w:lang w:val="en-GB" w:bidi="ar-SA"/>
        </w:rPr>
        <w:t>Some critics questioned that, i</w:t>
      </w:r>
      <w:r w:rsidRPr="00844C55">
        <w:rPr>
          <w:rFonts w:eastAsia="SimSun"/>
          <w:lang w:val="en-GB" w:bidi="ar-SA"/>
        </w:rPr>
        <w:t>n the process of merger review, l</w:t>
      </w:r>
      <w:r w:rsidRPr="00844C55">
        <w:rPr>
          <w:lang w:val="en-GB" w:bidi="ar-SA"/>
        </w:rPr>
        <w:t xml:space="preserve">ittle consideration is given as to how the acquisition of </w:t>
      </w:r>
      <w:r w:rsidR="00606FCB">
        <w:rPr>
          <w:lang w:val="en-GB" w:bidi="ar-SA"/>
        </w:rPr>
        <w:t xml:space="preserve">IPRs </w:t>
      </w:r>
      <w:r w:rsidRPr="00844C55">
        <w:rPr>
          <w:lang w:val="en-GB" w:bidi="ar-SA"/>
        </w:rPr>
        <w:t>is going to affect future innovation.</w:t>
      </w:r>
      <w:r>
        <w:rPr>
          <w:rStyle w:val="FootnoteReference"/>
          <w:lang w:val="en-GB" w:bidi="ar-SA"/>
        </w:rPr>
        <w:footnoteReference w:id="73"/>
      </w:r>
      <w:r w:rsidRPr="00844C55">
        <w:rPr>
          <w:lang w:val="en-GB" w:bidi="ar-SA"/>
        </w:rPr>
        <w:t xml:space="preserve"> </w:t>
      </w:r>
      <w:r>
        <w:rPr>
          <w:lang w:val="en-GB" w:bidi="ar-SA"/>
        </w:rPr>
        <w:t>An e</w:t>
      </w:r>
      <w:r>
        <w:rPr>
          <w:rFonts w:eastAsia="SimSun"/>
          <w:lang w:val="en-GB" w:bidi="ar-SA"/>
        </w:rPr>
        <w:t>mpirical research shows although the Commission has taken innovation efficiency into consideration in some merger cases, the reality is that innovation claims were not common and</w:t>
      </w:r>
      <w:r w:rsidR="008F73D7">
        <w:rPr>
          <w:rFonts w:eastAsia="SimSun"/>
          <w:lang w:val="en-GB" w:bidi="ar-SA"/>
        </w:rPr>
        <w:t xml:space="preserve"> rarely accepted as a defence of</w:t>
      </w:r>
      <w:r>
        <w:rPr>
          <w:rFonts w:eastAsia="SimSun"/>
          <w:lang w:val="en-GB" w:bidi="ar-SA"/>
        </w:rPr>
        <w:t xml:space="preserve"> the existence of potential efficiency, because the innovation effects were difficult to predict and assess due to their inherent uncertain and longer characteristics.</w:t>
      </w:r>
      <w:r>
        <w:rPr>
          <w:rStyle w:val="FootnoteReference"/>
          <w:lang w:val="en-GB" w:bidi="ar-SA"/>
        </w:rPr>
        <w:footnoteReference w:id="74"/>
      </w:r>
      <w:r w:rsidR="008F73D7">
        <w:rPr>
          <w:rFonts w:eastAsia="SimSun"/>
          <w:lang w:val="en-GB" w:bidi="ar-SA"/>
        </w:rPr>
        <w:t xml:space="preserve"> </w:t>
      </w:r>
      <w:r w:rsidR="0078572B" w:rsidRPr="006D1581">
        <w:rPr>
          <w:lang w:val="en-GB"/>
        </w:rPr>
        <w:t>Competition authorities are ill-equipp</w:t>
      </w:r>
      <w:r w:rsidR="0078572B">
        <w:rPr>
          <w:lang w:val="en-GB"/>
        </w:rPr>
        <w:t>ed to assess either the present and future value</w:t>
      </w:r>
      <w:r w:rsidR="0078572B" w:rsidRPr="006D1581">
        <w:rPr>
          <w:lang w:val="en-GB"/>
        </w:rPr>
        <w:t xml:space="preserve"> of </w:t>
      </w:r>
      <w:r w:rsidR="00606FCB">
        <w:rPr>
          <w:lang w:val="en-GB"/>
        </w:rPr>
        <w:t xml:space="preserve">IPRs </w:t>
      </w:r>
      <w:r w:rsidR="0078572B" w:rsidRPr="006D1581">
        <w:rPr>
          <w:lang w:val="en-GB"/>
        </w:rPr>
        <w:t xml:space="preserve">or the </w:t>
      </w:r>
      <w:r w:rsidR="0078572B">
        <w:rPr>
          <w:lang w:val="en-GB"/>
        </w:rPr>
        <w:t>trend of technology markets</w:t>
      </w:r>
      <w:r w:rsidR="0078572B" w:rsidRPr="006D1581">
        <w:rPr>
          <w:lang w:val="en-GB"/>
        </w:rPr>
        <w:t xml:space="preserve">. </w:t>
      </w:r>
      <w:r w:rsidR="009E3E1D">
        <w:rPr>
          <w:rFonts w:eastAsia="SimSun"/>
          <w:lang w:val="en-GB" w:bidi="ar-SA"/>
        </w:rPr>
        <w:t xml:space="preserve">It is not surprising that </w:t>
      </w:r>
      <w:r w:rsidR="008F73D7" w:rsidRPr="00844C55">
        <w:rPr>
          <w:lang w:val="en-GB"/>
        </w:rPr>
        <w:t xml:space="preserve">competition authorities tend to avoid speculating on the future, and all the more so as </w:t>
      </w:r>
      <w:r w:rsidR="008F73D7" w:rsidRPr="006D1581">
        <w:rPr>
          <w:lang w:val="en-GB"/>
        </w:rPr>
        <w:t>regards the distant future.</w:t>
      </w:r>
      <w:r w:rsidR="00E55667" w:rsidRPr="006D1581">
        <w:rPr>
          <w:rStyle w:val="FootnoteReference"/>
          <w:lang w:val="en-GB"/>
        </w:rPr>
        <w:footnoteReference w:id="75"/>
      </w:r>
      <w:r w:rsidR="009E3E1D" w:rsidRPr="006D1581">
        <w:rPr>
          <w:lang w:val="en-GB"/>
        </w:rPr>
        <w:t xml:space="preserve"> </w:t>
      </w:r>
    </w:p>
    <w:p w:rsidR="00682B55" w:rsidRDefault="00682B55" w:rsidP="00682B55">
      <w:pPr>
        <w:ind w:left="720"/>
        <w:rPr>
          <w:lang w:val="en-GB"/>
        </w:rPr>
      </w:pPr>
      <w:r w:rsidRPr="00844C55">
        <w:rPr>
          <w:lang w:val="en-GB"/>
        </w:rPr>
        <w:t xml:space="preserve">“Proper application in the antitrust laws to high-tech industries raises some of the most challenging questions that we have seen in a long time. As with any adjustment to </w:t>
      </w:r>
      <w:r w:rsidRPr="00844C55">
        <w:rPr>
          <w:lang w:val="en-GB" w:bidi="ar-SA"/>
        </w:rPr>
        <w:t>new</w:t>
      </w:r>
      <w:r w:rsidRPr="00844C55">
        <w:rPr>
          <w:lang w:val="en-GB"/>
        </w:rPr>
        <w:t xml:space="preserve"> facts or proposed law, a cautious approach is called for. But abandoning antitrust principles in this growing and increasingly important sector of the economy seems like the wrong direction to go.”</w:t>
      </w:r>
      <w:r w:rsidRPr="00844C55">
        <w:rPr>
          <w:rStyle w:val="FootnoteReference"/>
          <w:lang w:val="en-GB"/>
        </w:rPr>
        <w:footnoteReference w:id="76"/>
      </w:r>
    </w:p>
    <w:p w:rsidR="007D2640" w:rsidRDefault="00B34082" w:rsidP="007D2640">
      <w:pPr>
        <w:rPr>
          <w:rFonts w:ascii="TimesNewRoman" w:eastAsia="SimSun" w:hAnsi="TimesNewRoman" w:cs="TimesNewRoman"/>
          <w:szCs w:val="24"/>
          <w:lang w:val="en-GB" w:bidi="ar-SA"/>
        </w:rPr>
      </w:pPr>
      <w:r>
        <w:rPr>
          <w:lang w:val="en-GB" w:bidi="ar-SA"/>
        </w:rPr>
        <w:t xml:space="preserve">As </w:t>
      </w:r>
      <w:r w:rsidRPr="00844C55">
        <w:rPr>
          <w:lang w:val="en-GB" w:bidi="ar-SA"/>
        </w:rPr>
        <w:t xml:space="preserve">innovation generally opens up opportunities </w:t>
      </w:r>
      <w:r>
        <w:rPr>
          <w:lang w:val="en-GB" w:bidi="ar-SA"/>
        </w:rPr>
        <w:t xml:space="preserve">for new competitors and products, </w:t>
      </w:r>
      <w:r>
        <w:rPr>
          <w:lang w:val="en-GB"/>
        </w:rPr>
        <w:t>competition authorities</w:t>
      </w:r>
      <w:r w:rsidRPr="00844C55">
        <w:rPr>
          <w:lang w:val="en-GB"/>
        </w:rPr>
        <w:t xml:space="preserve"> should be mindful of the need to </w:t>
      </w:r>
      <w:r>
        <w:rPr>
          <w:lang w:val="en-GB"/>
        </w:rPr>
        <w:t>preserve</w:t>
      </w:r>
      <w:r w:rsidRPr="00844C55">
        <w:rPr>
          <w:lang w:val="en-GB"/>
        </w:rPr>
        <w:t xml:space="preserve"> dynamic innovative </w:t>
      </w:r>
      <w:r w:rsidRPr="00844C55">
        <w:rPr>
          <w:lang w:val="en-GB" w:bidi="ar-SA"/>
        </w:rPr>
        <w:t>efficiency</w:t>
      </w:r>
      <w:r>
        <w:rPr>
          <w:lang w:val="en-GB"/>
        </w:rPr>
        <w:t xml:space="preserve"> when levying remedies. </w:t>
      </w:r>
      <w:r w:rsidR="00230B03">
        <w:rPr>
          <w:lang w:val="en-GB"/>
        </w:rPr>
        <w:t>It is important to</w:t>
      </w:r>
      <w:r w:rsidRPr="006D1581">
        <w:rPr>
          <w:lang w:val="en-GB"/>
        </w:rPr>
        <w:t xml:space="preserve"> strike a balance between an immediate </w:t>
      </w:r>
      <w:r>
        <w:rPr>
          <w:lang w:val="en-GB"/>
        </w:rPr>
        <w:t xml:space="preserve">intervention to the enforcement of </w:t>
      </w:r>
      <w:r w:rsidR="00606FCB">
        <w:rPr>
          <w:lang w:val="en-GB"/>
        </w:rPr>
        <w:t xml:space="preserve">IPRs </w:t>
      </w:r>
      <w:r w:rsidRPr="006D1581">
        <w:rPr>
          <w:lang w:val="en-GB"/>
        </w:rPr>
        <w:t>and the need to keep the in</w:t>
      </w:r>
      <w:r>
        <w:rPr>
          <w:lang w:val="en-GB"/>
        </w:rPr>
        <w:t>novation</w:t>
      </w:r>
      <w:r w:rsidRPr="006D1581">
        <w:rPr>
          <w:lang w:val="en-GB"/>
        </w:rPr>
        <w:t xml:space="preserve"> incentives of the </w:t>
      </w:r>
      <w:r>
        <w:rPr>
          <w:lang w:val="en-GB"/>
        </w:rPr>
        <w:t>concerned firms</w:t>
      </w:r>
      <w:r w:rsidRPr="006D1581">
        <w:rPr>
          <w:lang w:val="en-GB"/>
        </w:rPr>
        <w:t xml:space="preserve"> and its rivals intact.</w:t>
      </w:r>
      <w:r w:rsidRPr="00844C55">
        <w:rPr>
          <w:lang w:val="en-GB"/>
        </w:rPr>
        <w:t xml:space="preserve"> </w:t>
      </w:r>
      <w:r w:rsidR="00682B55" w:rsidRPr="00844C55">
        <w:rPr>
          <w:rFonts w:eastAsia="SimSun"/>
          <w:lang w:val="en-GB" w:bidi="ar-SA"/>
        </w:rPr>
        <w:t xml:space="preserve">Compulsory licensing can be especially appropriate in high-technology cases where the goal of restoring competition is unlikely to be achieved by other means. </w:t>
      </w:r>
      <w:r w:rsidR="007D2640">
        <w:rPr>
          <w:rFonts w:ascii="TimesNewRoman" w:eastAsia="SimSun" w:hAnsi="TimesNewRoman" w:cs="TimesNewRoman"/>
          <w:szCs w:val="24"/>
          <w:lang w:val="en-GB" w:bidi="ar-SA"/>
        </w:rPr>
        <w:t xml:space="preserve">It has been proved that compulsory licensing could be able to serve as a less drastic and effective alternative to divestiture when properly designed. </w:t>
      </w:r>
      <w:r w:rsidR="007D2640" w:rsidRPr="00844C55">
        <w:rPr>
          <w:rFonts w:ascii="TimesNewRoman" w:eastAsia="SimSun" w:hAnsi="TimesNewRoman" w:cs="TimesNewRoman"/>
          <w:szCs w:val="24"/>
          <w:lang w:val="en-GB" w:bidi="ar-SA"/>
        </w:rPr>
        <w:t xml:space="preserve">The 2011 US DOJ Guide to Merger Remedies suggests </w:t>
      </w:r>
      <w:r w:rsidR="007D2640">
        <w:rPr>
          <w:rFonts w:ascii="TimesNewRoman" w:eastAsia="SimSun" w:hAnsi="TimesNewRoman" w:cs="TimesNewRoman"/>
          <w:szCs w:val="24"/>
          <w:lang w:val="en-GB" w:bidi="ar-SA"/>
        </w:rPr>
        <w:t xml:space="preserve">extending the adoption of compulsory licensing when </w:t>
      </w:r>
      <w:r w:rsidR="007D2640">
        <w:rPr>
          <w:rFonts w:ascii="TimesNewRoman" w:eastAsia="SimSun" w:hAnsi="TimesNewRoman" w:cs="TimesNewRoman"/>
          <w:szCs w:val="24"/>
          <w:lang w:val="en-GB" w:bidi="ar-SA"/>
        </w:rPr>
        <w:lastRenderedPageBreak/>
        <w:t xml:space="preserve">the merging parties need to retain the </w:t>
      </w:r>
      <w:r w:rsidR="00606FCB">
        <w:rPr>
          <w:rFonts w:ascii="TimesNewRoman" w:eastAsia="SimSun" w:hAnsi="TimesNewRoman" w:cs="TimesNewRoman"/>
          <w:szCs w:val="24"/>
          <w:lang w:val="en-GB" w:bidi="ar-SA"/>
        </w:rPr>
        <w:t xml:space="preserve">IPRs </w:t>
      </w:r>
      <w:r w:rsidR="007D2640" w:rsidRPr="00844C55">
        <w:rPr>
          <w:rFonts w:ascii="TimesNewRoman" w:eastAsia="SimSun" w:hAnsi="TimesNewRoman" w:cs="TimesNewRoman"/>
          <w:szCs w:val="24"/>
          <w:lang w:val="en-GB" w:bidi="ar-SA"/>
        </w:rPr>
        <w:t>to achieve demons</w:t>
      </w:r>
      <w:r w:rsidR="007D2640">
        <w:rPr>
          <w:rFonts w:ascii="TimesNewRoman" w:eastAsia="SimSun" w:hAnsi="TimesNewRoman" w:cs="TimesNewRoman"/>
          <w:szCs w:val="24"/>
          <w:lang w:val="en-GB" w:bidi="ar-SA"/>
        </w:rPr>
        <w:t>trable efficiencies</w:t>
      </w:r>
      <w:r w:rsidR="007D2640" w:rsidRPr="00844C55">
        <w:rPr>
          <w:rFonts w:ascii="TimesNewRoman" w:eastAsia="SimSun" w:hAnsi="TimesNewRoman" w:cs="TimesNewRoman"/>
          <w:szCs w:val="24"/>
          <w:lang w:val="en-GB" w:bidi="ar-SA"/>
        </w:rPr>
        <w:t xml:space="preserve">, e.g. </w:t>
      </w:r>
      <w:r w:rsidR="007D2640">
        <w:rPr>
          <w:rFonts w:ascii="TimesNewRoman" w:eastAsia="SimSun" w:hAnsi="TimesNewRoman" w:cs="TimesNewRoman"/>
          <w:szCs w:val="24"/>
          <w:lang w:val="en-GB" w:bidi="ar-SA"/>
        </w:rPr>
        <w:t xml:space="preserve">in the case of </w:t>
      </w:r>
      <w:r w:rsidR="007D2640" w:rsidRPr="00844C55">
        <w:rPr>
          <w:rFonts w:ascii="TimesNewRoman" w:eastAsia="SimSun" w:hAnsi="TimesNewRoman" w:cs="TimesNewRoman"/>
          <w:szCs w:val="24"/>
          <w:lang w:val="en-GB" w:bidi="ar-SA"/>
        </w:rPr>
        <w:t>production process patents.</w:t>
      </w:r>
      <w:r w:rsidR="007D2640" w:rsidRPr="00844C55">
        <w:rPr>
          <w:rStyle w:val="FootnoteReference"/>
          <w:rFonts w:ascii="TimesNewRoman" w:eastAsia="SimSun" w:hAnsi="TimesNewRoman" w:cs="TimesNewRoman"/>
          <w:szCs w:val="24"/>
          <w:lang w:val="en-GB" w:bidi="ar-SA"/>
        </w:rPr>
        <w:footnoteReference w:id="77"/>
      </w:r>
      <w:r w:rsidR="007D2640" w:rsidRPr="00844C55">
        <w:rPr>
          <w:rFonts w:ascii="TimesNewRoman" w:eastAsia="SimSun" w:hAnsi="TimesNewRoman" w:cs="TimesNewRoman"/>
          <w:szCs w:val="24"/>
          <w:lang w:val="en-GB" w:bidi="ar-SA"/>
        </w:rPr>
        <w:t xml:space="preserve">  </w:t>
      </w:r>
    </w:p>
    <w:p w:rsidR="00844217" w:rsidRPr="00844C55" w:rsidRDefault="00844217" w:rsidP="00844217">
      <w:pPr>
        <w:pStyle w:val="Heading2"/>
        <w:rPr>
          <w:rFonts w:eastAsia="SimSun"/>
          <w:lang w:val="en-GB" w:bidi="ar-SA"/>
        </w:rPr>
      </w:pPr>
      <w:r w:rsidRPr="00844C55">
        <w:rPr>
          <w:lang w:val="en-GB" w:bidi="ar-SA"/>
        </w:rPr>
        <w:t xml:space="preserve">Considerations for Drafting </w:t>
      </w:r>
      <w:r w:rsidRPr="00844C55">
        <w:rPr>
          <w:rFonts w:eastAsia="SimSun"/>
          <w:lang w:val="en-GB" w:bidi="ar-SA"/>
        </w:rPr>
        <w:t>Compulsory</w:t>
      </w:r>
      <w:r w:rsidRPr="00844C55">
        <w:rPr>
          <w:lang w:val="en-GB" w:bidi="ar-SA"/>
        </w:rPr>
        <w:t xml:space="preserve"> License</w:t>
      </w:r>
    </w:p>
    <w:p w:rsidR="00331067" w:rsidRDefault="00CA3B52" w:rsidP="00331067">
      <w:pPr>
        <w:rPr>
          <w:rFonts w:eastAsia="SimSun"/>
          <w:lang w:val="en-GB" w:bidi="ar-SA"/>
        </w:rPr>
      </w:pPr>
      <w:r>
        <w:rPr>
          <w:lang w:val="en-GB" w:bidi="ar-SA"/>
        </w:rPr>
        <w:t xml:space="preserve">Article 102 and merger control </w:t>
      </w:r>
      <w:r w:rsidR="00280C28">
        <w:rPr>
          <w:rFonts w:hint="eastAsia"/>
          <w:lang w:val="en-GB" w:bidi="ar-SA"/>
        </w:rPr>
        <w:t>accepted or levied</w:t>
      </w:r>
      <w:r w:rsidR="00280C28">
        <w:rPr>
          <w:rFonts w:eastAsia="SimSun"/>
          <w:lang w:val="en-GB" w:bidi="ar-SA"/>
        </w:rPr>
        <w:t xml:space="preserve"> </w:t>
      </w:r>
      <w:r w:rsidR="00280C28">
        <w:rPr>
          <w:rFonts w:hint="eastAsia"/>
          <w:lang w:val="en-GB" w:bidi="ar-SA"/>
        </w:rPr>
        <w:t>compulsory</w:t>
      </w:r>
      <w:r w:rsidR="00280C28">
        <w:rPr>
          <w:rFonts w:eastAsia="SimSun"/>
          <w:lang w:val="en-GB" w:bidi="ar-SA"/>
        </w:rPr>
        <w:t xml:space="preserve"> licens</w:t>
      </w:r>
      <w:r w:rsidR="00280C28">
        <w:rPr>
          <w:rFonts w:hint="eastAsia"/>
          <w:lang w:val="en-GB" w:bidi="ar-SA"/>
        </w:rPr>
        <w:t>ing remedies with</w:t>
      </w:r>
      <w:r w:rsidR="00280C28">
        <w:rPr>
          <w:lang w:val="en-GB" w:bidi="ar-SA"/>
        </w:rPr>
        <w:t xml:space="preserve"> d</w:t>
      </w:r>
      <w:r w:rsidR="00280C28">
        <w:rPr>
          <w:rFonts w:eastAsia="SimSun"/>
          <w:lang w:val="en-GB" w:bidi="ar-SA"/>
        </w:rPr>
        <w:t>ifferent</w:t>
      </w:r>
      <w:r w:rsidR="00280C28">
        <w:rPr>
          <w:rFonts w:hint="eastAsia"/>
          <w:lang w:val="en-GB" w:bidi="ar-SA"/>
        </w:rPr>
        <w:t xml:space="preserve"> measures and conditions</w:t>
      </w:r>
      <w:r w:rsidR="00280C28">
        <w:rPr>
          <w:rFonts w:eastAsia="SimSun"/>
          <w:lang w:val="en-GB" w:bidi="ar-SA"/>
        </w:rPr>
        <w:t xml:space="preserve"> </w:t>
      </w:r>
      <w:r w:rsidR="00522122">
        <w:rPr>
          <w:rFonts w:eastAsia="SimSun"/>
          <w:lang w:val="en-GB" w:bidi="ar-SA"/>
        </w:rPr>
        <w:t>to ensure the effectiveness</w:t>
      </w:r>
      <w:r w:rsidR="00280C28">
        <w:rPr>
          <w:rFonts w:hint="eastAsia"/>
          <w:lang w:val="en-GB" w:bidi="ar-SA"/>
        </w:rPr>
        <w:t xml:space="preserve"> of the </w:t>
      </w:r>
      <w:r w:rsidR="0078572B">
        <w:rPr>
          <w:rFonts w:eastAsia="SimSun" w:hint="eastAsia"/>
          <w:lang w:val="en-GB" w:bidi="ar-SA"/>
        </w:rPr>
        <w:t>license</w:t>
      </w:r>
      <w:r w:rsidR="00280C28">
        <w:rPr>
          <w:rFonts w:hint="eastAsia"/>
          <w:lang w:val="en-GB" w:bidi="ar-SA"/>
        </w:rPr>
        <w:t>s</w:t>
      </w:r>
      <w:r w:rsidR="00522122">
        <w:rPr>
          <w:rFonts w:eastAsia="SimSun"/>
          <w:lang w:val="en-GB" w:bidi="ar-SA"/>
        </w:rPr>
        <w:t xml:space="preserve"> </w:t>
      </w:r>
      <w:r w:rsidR="00937E16">
        <w:rPr>
          <w:rFonts w:hint="eastAsia"/>
          <w:lang w:val="en-GB" w:bidi="ar-SA"/>
        </w:rPr>
        <w:t xml:space="preserve">pursuant to </w:t>
      </w:r>
      <w:r w:rsidR="00522122">
        <w:rPr>
          <w:rFonts w:hint="eastAsia"/>
          <w:lang w:val="en-GB" w:bidi="ar-SA"/>
        </w:rPr>
        <w:t xml:space="preserve">their </w:t>
      </w:r>
      <w:r w:rsidR="00522122">
        <w:rPr>
          <w:lang w:val="en-GB" w:bidi="ar-SA"/>
        </w:rPr>
        <w:t xml:space="preserve">different </w:t>
      </w:r>
      <w:r w:rsidR="00522122">
        <w:rPr>
          <w:rFonts w:hint="eastAsia"/>
          <w:lang w:val="en-GB" w:bidi="ar-SA"/>
        </w:rPr>
        <w:t xml:space="preserve">agendas and </w:t>
      </w:r>
      <w:r w:rsidR="00522122">
        <w:rPr>
          <w:lang w:val="en-GB" w:bidi="ar-SA"/>
        </w:rPr>
        <w:t>requirements on the legal certainty</w:t>
      </w:r>
      <w:r w:rsidR="00522122">
        <w:rPr>
          <w:rFonts w:hint="eastAsia"/>
          <w:lang w:val="en-GB" w:bidi="ar-SA"/>
        </w:rPr>
        <w:t>.</w:t>
      </w:r>
      <w:r w:rsidR="00937E16">
        <w:rPr>
          <w:rFonts w:hint="eastAsia"/>
          <w:lang w:val="en-GB" w:bidi="ar-SA"/>
        </w:rPr>
        <w:t xml:space="preserve"> </w:t>
      </w:r>
      <w:r w:rsidR="00331067" w:rsidRPr="00844C55">
        <w:rPr>
          <w:rFonts w:eastAsia="SimSun"/>
          <w:lang w:val="en-GB" w:bidi="ar-SA"/>
        </w:rPr>
        <w:t>The majority of compulsory licences were put forward in the settlements prepared by the parties involved, except those levied by the Commission according to Article 7 of Regulation 1/2003.</w:t>
      </w:r>
      <w:r w:rsidR="00331067">
        <w:rPr>
          <w:rFonts w:eastAsia="SimSun"/>
          <w:lang w:val="en-GB" w:bidi="ar-SA"/>
        </w:rPr>
        <w:t xml:space="preserve"> </w:t>
      </w:r>
      <w:r w:rsidR="00331067" w:rsidRPr="00844C55">
        <w:rPr>
          <w:rFonts w:eastAsia="SimSun"/>
          <w:lang w:val="en-GB" w:bidi="ar-SA"/>
        </w:rPr>
        <w:t>No matter who drafted the terms and conditions of a licence, the Commission is in the place to evaluat</w:t>
      </w:r>
      <w:r w:rsidR="00671FFE">
        <w:rPr>
          <w:rFonts w:eastAsia="SimSun"/>
          <w:lang w:val="en-GB" w:bidi="ar-SA"/>
        </w:rPr>
        <w:t xml:space="preserve">e whether the compulsory </w:t>
      </w:r>
      <w:r w:rsidR="004B060D">
        <w:rPr>
          <w:rFonts w:eastAsia="SimSun"/>
          <w:lang w:val="en-GB" w:bidi="ar-SA"/>
        </w:rPr>
        <w:t>licensing</w:t>
      </w:r>
      <w:r w:rsidR="00331067" w:rsidRPr="00844C55">
        <w:rPr>
          <w:rFonts w:eastAsia="SimSun"/>
          <w:lang w:val="en-GB" w:bidi="ar-SA"/>
        </w:rPr>
        <w:t xml:space="preserve"> would effectively remove competition concern and to make such commitments binding. </w:t>
      </w:r>
      <w:r w:rsidR="00331067">
        <w:rPr>
          <w:lang w:val="en-GB" w:bidi="ar-SA"/>
        </w:rPr>
        <w:t>Th</w:t>
      </w:r>
      <w:r w:rsidR="00331067">
        <w:rPr>
          <w:rFonts w:hint="eastAsia"/>
          <w:lang w:val="en-GB" w:bidi="ar-SA"/>
        </w:rPr>
        <w:t xml:space="preserve">e same </w:t>
      </w:r>
      <w:r w:rsidR="00331067">
        <w:rPr>
          <w:lang w:val="en-GB" w:bidi="ar-SA"/>
        </w:rPr>
        <w:t>mechanism</w:t>
      </w:r>
      <w:r w:rsidR="00331067">
        <w:rPr>
          <w:rFonts w:hint="eastAsia"/>
          <w:lang w:val="en-GB" w:bidi="ar-SA"/>
        </w:rPr>
        <w:t xml:space="preserve">s can be adopted in both antitrust and merger cases. </w:t>
      </w:r>
      <w:r w:rsidR="00671FFE">
        <w:rPr>
          <w:rFonts w:eastAsia="SimSun" w:hint="eastAsia"/>
          <w:lang w:val="en-GB" w:bidi="ar-SA"/>
        </w:rPr>
        <w:t>One</w:t>
      </w:r>
      <w:r w:rsidR="00331067">
        <w:rPr>
          <w:lang w:val="en-GB" w:bidi="ar-SA"/>
        </w:rPr>
        <w:t xml:space="preserve"> essential rule of</w:t>
      </w:r>
      <w:r w:rsidR="00331067" w:rsidRPr="00844C55">
        <w:rPr>
          <w:rFonts w:eastAsia="SimSun"/>
          <w:lang w:val="en-GB" w:bidi="ar-SA"/>
        </w:rPr>
        <w:t xml:space="preserve"> </w:t>
      </w:r>
      <w:r w:rsidR="00331067" w:rsidRPr="00844C55">
        <w:rPr>
          <w:lang w:val="en-GB" w:bidi="ar-SA"/>
        </w:rPr>
        <w:t>design</w:t>
      </w:r>
      <w:r w:rsidR="00331067" w:rsidRPr="00844C55">
        <w:rPr>
          <w:rFonts w:eastAsia="SimSun"/>
          <w:lang w:val="en-GB" w:bidi="ar-SA"/>
        </w:rPr>
        <w:t>ing</w:t>
      </w:r>
      <w:r w:rsidR="00331067" w:rsidRPr="00844C55">
        <w:rPr>
          <w:lang w:val="en-GB" w:bidi="ar-SA"/>
        </w:rPr>
        <w:t xml:space="preserve"> </w:t>
      </w:r>
      <w:r w:rsidR="00331067" w:rsidRPr="00844C55">
        <w:rPr>
          <w:rFonts w:eastAsia="SimSun"/>
          <w:lang w:val="en-GB" w:bidi="ar-SA"/>
        </w:rPr>
        <w:t>a compulsory licence</w:t>
      </w:r>
      <w:r w:rsidR="00331067">
        <w:rPr>
          <w:rFonts w:eastAsia="SimSun"/>
          <w:lang w:val="en-GB" w:bidi="ar-SA"/>
        </w:rPr>
        <w:t xml:space="preserve"> is that </w:t>
      </w:r>
      <w:r w:rsidR="00331067" w:rsidRPr="00844C55">
        <w:rPr>
          <w:lang w:val="en-GB" w:bidi="ar-SA"/>
        </w:rPr>
        <w:t>it is particularly important to strike an appropriate balance between preserving incentive for innovation and addressing competitive detriments.</w:t>
      </w:r>
      <w:r w:rsidR="001D12D9" w:rsidRPr="001D12D9">
        <w:rPr>
          <w:lang w:val="en-GB" w:bidi="ar-SA"/>
        </w:rPr>
        <w:t xml:space="preserve"> </w:t>
      </w:r>
      <w:r w:rsidR="001D12D9">
        <w:rPr>
          <w:lang w:val="en-GB" w:bidi="ar-SA"/>
        </w:rPr>
        <w:t xml:space="preserve">For the purpose of preserving </w:t>
      </w:r>
      <w:r w:rsidR="001D12D9">
        <w:rPr>
          <w:rFonts w:eastAsia="SimSun" w:hint="eastAsia"/>
          <w:lang w:val="en-GB" w:bidi="ar-SA"/>
        </w:rPr>
        <w:t>competition</w:t>
      </w:r>
      <w:r w:rsidR="001D12D9">
        <w:rPr>
          <w:lang w:val="en-GB" w:bidi="ar-SA"/>
        </w:rPr>
        <w:t xml:space="preserve">, </w:t>
      </w:r>
      <w:r w:rsidR="001D12D9">
        <w:rPr>
          <w:rFonts w:hint="eastAsia"/>
          <w:lang w:val="en-GB" w:bidi="ar-SA"/>
        </w:rPr>
        <w:t xml:space="preserve">antitrust and merger control should share their experience as </w:t>
      </w:r>
      <w:r w:rsidR="001D12D9">
        <w:rPr>
          <w:lang w:val="en-GB" w:bidi="ar-SA"/>
        </w:rPr>
        <w:t>to compulsory</w:t>
      </w:r>
      <w:r w:rsidR="001D12D9">
        <w:rPr>
          <w:rFonts w:hint="eastAsia"/>
          <w:lang w:val="en-GB" w:bidi="ar-SA"/>
        </w:rPr>
        <w:t xml:space="preserve"> licensing with each other</w:t>
      </w:r>
      <w:r w:rsidR="001D12D9">
        <w:rPr>
          <w:lang w:val="en-GB" w:bidi="ar-SA"/>
        </w:rPr>
        <w:t>.</w:t>
      </w:r>
    </w:p>
    <w:p w:rsidR="00844217" w:rsidRPr="00844C55" w:rsidRDefault="00844217" w:rsidP="00844217">
      <w:pPr>
        <w:pStyle w:val="Heading3"/>
        <w:rPr>
          <w:rFonts w:eastAsia="SimSun"/>
          <w:lang w:val="en-GB" w:bidi="ar-SA"/>
        </w:rPr>
      </w:pPr>
      <w:r w:rsidRPr="00844C55">
        <w:rPr>
          <w:rFonts w:eastAsia="SimSun"/>
          <w:lang w:val="en-GB" w:bidi="ar-SA"/>
        </w:rPr>
        <w:t>Royalty</w:t>
      </w:r>
    </w:p>
    <w:p w:rsidR="00937E16" w:rsidRDefault="00F4469E" w:rsidP="0012597D">
      <w:pPr>
        <w:rPr>
          <w:lang w:val="en-GB" w:bidi="ar-SA"/>
        </w:rPr>
      </w:pPr>
      <w:r>
        <w:rPr>
          <w:rFonts w:eastAsia="SimSun" w:hint="eastAsia"/>
          <w:lang w:val="en-GB" w:bidi="ar-SA"/>
        </w:rPr>
        <w:t>T</w:t>
      </w:r>
      <w:r w:rsidR="005146F0" w:rsidRPr="005146F0">
        <w:rPr>
          <w:rFonts w:eastAsia="SimSun"/>
          <w:lang w:val="en-GB" w:bidi="ar-SA"/>
        </w:rPr>
        <w:t xml:space="preserve">he </w:t>
      </w:r>
      <w:r w:rsidR="005146F0">
        <w:rPr>
          <w:rFonts w:hint="eastAsia"/>
          <w:lang w:val="en-GB" w:bidi="ar-SA"/>
        </w:rPr>
        <w:t>royalty</w:t>
      </w:r>
      <w:r w:rsidR="005146F0">
        <w:rPr>
          <w:rFonts w:eastAsia="SimSun"/>
          <w:lang w:val="en-GB" w:bidi="ar-SA"/>
        </w:rPr>
        <w:t xml:space="preserve"> to be paid to </w:t>
      </w:r>
      <w:r w:rsidR="00D8492E">
        <w:rPr>
          <w:rFonts w:hint="eastAsia"/>
          <w:lang w:val="en-GB" w:bidi="ar-SA"/>
        </w:rPr>
        <w:t xml:space="preserve">IPR holders </w:t>
      </w:r>
      <w:r w:rsidR="005146F0" w:rsidRPr="005146F0">
        <w:rPr>
          <w:rFonts w:eastAsia="SimSun"/>
          <w:lang w:val="en-GB" w:bidi="ar-SA"/>
        </w:rPr>
        <w:t xml:space="preserve">is a key issue </w:t>
      </w:r>
      <w:r w:rsidR="00844217" w:rsidRPr="005146F0">
        <w:rPr>
          <w:rFonts w:eastAsia="SimSun"/>
          <w:lang w:val="en-GB" w:bidi="ar-SA"/>
        </w:rPr>
        <w:t xml:space="preserve">that </w:t>
      </w:r>
      <w:r w:rsidR="00844217" w:rsidRPr="00844C55">
        <w:rPr>
          <w:rFonts w:eastAsia="SimSun"/>
          <w:lang w:val="en-GB" w:bidi="ar-SA"/>
        </w:rPr>
        <w:t xml:space="preserve">may </w:t>
      </w:r>
      <w:r w:rsidR="00844217" w:rsidRPr="005146F0">
        <w:rPr>
          <w:rFonts w:eastAsia="SimSun"/>
          <w:lang w:val="en-GB" w:bidi="ar-SA"/>
        </w:rPr>
        <w:t xml:space="preserve">determine the </w:t>
      </w:r>
      <w:r w:rsidR="00844217" w:rsidRPr="00844C55">
        <w:rPr>
          <w:rFonts w:eastAsia="SimSun"/>
          <w:lang w:val="en-GB" w:bidi="ar-SA"/>
        </w:rPr>
        <w:t>effectiveness</w:t>
      </w:r>
      <w:r w:rsidR="008E1A09" w:rsidRPr="005146F0">
        <w:rPr>
          <w:rFonts w:eastAsia="SimSun"/>
          <w:lang w:val="en-GB" w:bidi="ar-SA"/>
        </w:rPr>
        <w:t xml:space="preserve"> of </w:t>
      </w:r>
      <w:r w:rsidR="008E1A09">
        <w:rPr>
          <w:rFonts w:eastAsia="SimSun"/>
          <w:lang w:val="en-GB" w:bidi="ar-SA"/>
        </w:rPr>
        <w:t>compulsory licensing</w:t>
      </w:r>
      <w:r w:rsidR="004606B2">
        <w:rPr>
          <w:rFonts w:eastAsia="SimSun" w:hint="eastAsia"/>
          <w:lang w:val="en-GB" w:bidi="ar-SA"/>
        </w:rPr>
        <w:t>,</w:t>
      </w:r>
      <w:r w:rsidR="004606B2">
        <w:rPr>
          <w:rFonts w:hint="eastAsia"/>
          <w:lang w:val="en-GB" w:bidi="ar-SA"/>
        </w:rPr>
        <w:t xml:space="preserve"> as o</w:t>
      </w:r>
      <w:r w:rsidR="004606B2" w:rsidRPr="00844C55">
        <w:rPr>
          <w:rFonts w:eastAsia="SimSun"/>
          <w:lang w:val="en-GB" w:bidi="ar-SA"/>
        </w:rPr>
        <w:t xml:space="preserve">nerous </w:t>
      </w:r>
      <w:r w:rsidR="004606B2">
        <w:rPr>
          <w:rFonts w:hint="eastAsia"/>
          <w:lang w:val="en-GB" w:bidi="ar-SA"/>
        </w:rPr>
        <w:t>royalty</w:t>
      </w:r>
      <w:r w:rsidR="004606B2" w:rsidRPr="00844C55">
        <w:rPr>
          <w:rFonts w:eastAsia="SimSun"/>
          <w:lang w:val="en-GB" w:bidi="ar-SA"/>
        </w:rPr>
        <w:t xml:space="preserve"> terms can </w:t>
      </w:r>
      <w:r w:rsidR="004606B2" w:rsidRPr="00CE18D4">
        <w:rPr>
          <w:shd w:val="clear" w:color="auto" w:fill="FFFFFF"/>
          <w:lang w:val="en-GB"/>
        </w:rPr>
        <w:t>discourage</w:t>
      </w:r>
      <w:r w:rsidR="004606B2" w:rsidRPr="00844C55">
        <w:rPr>
          <w:rFonts w:eastAsia="SimSun"/>
          <w:lang w:val="en-GB" w:bidi="ar-SA"/>
        </w:rPr>
        <w:t>, or hinder access, thereby deterring market entry and not achieving the purpose of the remedy.</w:t>
      </w:r>
      <w:r w:rsidR="004606B2" w:rsidRPr="00844C55">
        <w:rPr>
          <w:rStyle w:val="FootnoteReference"/>
          <w:rFonts w:eastAsia="SimSun" w:cs="Times New Roman"/>
          <w:sz w:val="22"/>
          <w:szCs w:val="22"/>
          <w:lang w:val="en-GB" w:bidi="ar-SA"/>
        </w:rPr>
        <w:footnoteReference w:id="78"/>
      </w:r>
      <w:r w:rsidR="00937E16">
        <w:rPr>
          <w:rFonts w:hint="eastAsia"/>
          <w:lang w:val="en-GB" w:bidi="ar-SA"/>
        </w:rPr>
        <w:t xml:space="preserve"> </w:t>
      </w:r>
      <w:r w:rsidR="00844217" w:rsidRPr="00292089">
        <w:rPr>
          <w:lang w:val="en-GB" w:bidi="ar-SA"/>
        </w:rPr>
        <w:t xml:space="preserve">The Commission has accepted commitments to licence </w:t>
      </w:r>
      <w:r w:rsidR="00377EAB" w:rsidRPr="00292089">
        <w:rPr>
          <w:lang w:val="en-GB" w:bidi="ar-SA"/>
        </w:rPr>
        <w:t xml:space="preserve">mostly </w:t>
      </w:r>
      <w:r w:rsidR="00844217" w:rsidRPr="00292089">
        <w:rPr>
          <w:lang w:val="en-GB" w:bidi="ar-SA"/>
        </w:rPr>
        <w:t xml:space="preserve">at </w:t>
      </w:r>
      <w:r w:rsidR="00377EAB" w:rsidRPr="00292089">
        <w:rPr>
          <w:lang w:val="en-GB" w:bidi="ar-SA"/>
        </w:rPr>
        <w:t>two types of royalty terms, i.e.</w:t>
      </w:r>
      <w:r w:rsidR="00844217" w:rsidRPr="00292089">
        <w:rPr>
          <w:lang w:val="en-GB" w:bidi="ar-SA"/>
        </w:rPr>
        <w:t xml:space="preserve"> </w:t>
      </w:r>
      <w:r w:rsidR="00B8767E" w:rsidRPr="00292089">
        <w:rPr>
          <w:lang w:val="en-GB" w:bidi="ar-SA"/>
        </w:rPr>
        <w:t>royalty-free</w:t>
      </w:r>
      <w:r w:rsidR="00844217" w:rsidRPr="00292089">
        <w:rPr>
          <w:lang w:val="en-GB" w:bidi="ar-SA"/>
        </w:rPr>
        <w:t xml:space="preserve"> and </w:t>
      </w:r>
      <w:r>
        <w:rPr>
          <w:rFonts w:eastAsia="SimSun" w:hint="eastAsia"/>
          <w:lang w:val="en-GB" w:bidi="ar-SA"/>
        </w:rPr>
        <w:t>F</w:t>
      </w:r>
      <w:r>
        <w:rPr>
          <w:lang w:val="en-GB" w:bidi="ar-SA"/>
        </w:rPr>
        <w:t>RAN</w:t>
      </w:r>
      <w:r>
        <w:rPr>
          <w:rFonts w:eastAsia="SimSun" w:hint="eastAsia"/>
          <w:lang w:val="en-GB" w:bidi="ar-SA"/>
        </w:rPr>
        <w:t>D</w:t>
      </w:r>
      <w:r w:rsidR="00B8767E" w:rsidRPr="00292089">
        <w:rPr>
          <w:lang w:val="en-GB" w:bidi="ar-SA"/>
        </w:rPr>
        <w:t xml:space="preserve"> royalty</w:t>
      </w:r>
      <w:r w:rsidR="00844217" w:rsidRPr="00292089">
        <w:rPr>
          <w:lang w:val="en-GB" w:bidi="ar-SA"/>
        </w:rPr>
        <w:t xml:space="preserve">. </w:t>
      </w:r>
      <w:r w:rsidR="007F6B7D" w:rsidRPr="00292089">
        <w:rPr>
          <w:lang w:val="en-GB" w:bidi="ar-SA"/>
        </w:rPr>
        <w:t xml:space="preserve">Royalty-free </w:t>
      </w:r>
      <w:r w:rsidR="00613F83">
        <w:rPr>
          <w:lang w:val="en-GB" w:bidi="ar-SA"/>
        </w:rPr>
        <w:t xml:space="preserve">commitment </w:t>
      </w:r>
      <w:r w:rsidR="00FC71BA" w:rsidRPr="00292089">
        <w:rPr>
          <w:rFonts w:hint="eastAsia"/>
          <w:lang w:val="en-GB" w:bidi="ar-SA"/>
        </w:rPr>
        <w:t>is plain</w:t>
      </w:r>
      <w:r w:rsidR="00F858BB">
        <w:rPr>
          <w:rFonts w:hint="eastAsia"/>
          <w:lang w:val="en-GB" w:bidi="ar-SA"/>
        </w:rPr>
        <w:t xml:space="preserve"> and rigid.</w:t>
      </w:r>
      <w:r w:rsidR="00FC71BA" w:rsidRPr="00292089">
        <w:rPr>
          <w:rFonts w:hint="eastAsia"/>
          <w:lang w:val="en-GB" w:bidi="ar-SA"/>
        </w:rPr>
        <w:t xml:space="preserve"> </w:t>
      </w:r>
      <w:r w:rsidR="00F858BB">
        <w:rPr>
          <w:rFonts w:hint="eastAsia"/>
          <w:lang w:val="en-GB" w:bidi="ar-SA"/>
        </w:rPr>
        <w:t>It has</w:t>
      </w:r>
      <w:r w:rsidR="00844217" w:rsidRPr="00292089">
        <w:rPr>
          <w:lang w:val="en-GB" w:bidi="ar-SA"/>
        </w:rPr>
        <w:t xml:space="preserve"> </w:t>
      </w:r>
      <w:r w:rsidR="00F858BB" w:rsidRPr="00292089">
        <w:rPr>
          <w:lang w:val="en-GB" w:bidi="ar-SA"/>
        </w:rPr>
        <w:t>only</w:t>
      </w:r>
      <w:r w:rsidR="00613F83">
        <w:rPr>
          <w:lang w:val="en-GB" w:bidi="ar-SA"/>
        </w:rPr>
        <w:t xml:space="preserve"> been required</w:t>
      </w:r>
      <w:r w:rsidR="008E1A09" w:rsidRPr="00292089">
        <w:rPr>
          <w:rFonts w:hint="eastAsia"/>
          <w:lang w:val="en-GB" w:bidi="ar-SA"/>
        </w:rPr>
        <w:t xml:space="preserve"> </w:t>
      </w:r>
      <w:r w:rsidR="00844217" w:rsidRPr="00292089">
        <w:rPr>
          <w:lang w:val="en-GB" w:bidi="ar-SA"/>
        </w:rPr>
        <w:t xml:space="preserve">in merger cases, in particular when </w:t>
      </w:r>
      <w:r w:rsidR="00465D70" w:rsidRPr="00292089">
        <w:rPr>
          <w:rFonts w:hint="eastAsia"/>
          <w:lang w:val="en-GB" w:bidi="ar-SA"/>
        </w:rPr>
        <w:t xml:space="preserve">compulsory licensing was </w:t>
      </w:r>
      <w:r w:rsidR="00844217" w:rsidRPr="00292089">
        <w:rPr>
          <w:lang w:val="en-GB" w:bidi="ar-SA"/>
        </w:rPr>
        <w:t xml:space="preserve">used as </w:t>
      </w:r>
      <w:r w:rsidR="007F6B7D" w:rsidRPr="00292089">
        <w:rPr>
          <w:lang w:val="en-GB" w:bidi="ar-SA"/>
        </w:rPr>
        <w:t xml:space="preserve">supplements or </w:t>
      </w:r>
      <w:r w:rsidR="00C0407D" w:rsidRPr="00292089">
        <w:rPr>
          <w:lang w:val="en-GB" w:bidi="ar-SA"/>
        </w:rPr>
        <w:t>alternative</w:t>
      </w:r>
      <w:r w:rsidR="00844217" w:rsidRPr="00292089">
        <w:rPr>
          <w:lang w:val="en-GB" w:bidi="ar-SA"/>
        </w:rPr>
        <w:t>s for divestiture, e.g.</w:t>
      </w:r>
      <w:r w:rsidR="00844217" w:rsidRPr="00292089">
        <w:rPr>
          <w:i/>
          <w:lang w:val="en-GB" w:bidi="ar-SA"/>
        </w:rPr>
        <w:t xml:space="preserve"> APOLLO / BAKELITE</w:t>
      </w:r>
      <w:r w:rsidR="00FC71BA" w:rsidRPr="00292089">
        <w:rPr>
          <w:rFonts w:hint="eastAsia"/>
          <w:lang w:val="en-GB" w:bidi="ar-SA"/>
        </w:rPr>
        <w:t>.</w:t>
      </w:r>
      <w:r w:rsidR="00D33587" w:rsidRPr="00292089">
        <w:rPr>
          <w:lang w:val="en-GB" w:bidi="ar-SA"/>
        </w:rPr>
        <w:t xml:space="preserve"> </w:t>
      </w:r>
    </w:p>
    <w:p w:rsidR="00292089" w:rsidRPr="0012597D" w:rsidRDefault="00613F83" w:rsidP="0012597D">
      <w:pPr>
        <w:rPr>
          <w:lang w:val="en-GB" w:bidi="ar-SA"/>
        </w:rPr>
      </w:pPr>
      <w:r>
        <w:rPr>
          <w:lang w:val="en-GB" w:bidi="ar-SA"/>
        </w:rPr>
        <w:t>On</w:t>
      </w:r>
      <w:r w:rsidR="00FC4E72">
        <w:rPr>
          <w:lang w:val="en-GB" w:bidi="ar-SA"/>
        </w:rPr>
        <w:t xml:space="preserve"> the other hand</w:t>
      </w:r>
      <w:r w:rsidR="00F07DC1" w:rsidRPr="00292089">
        <w:rPr>
          <w:rFonts w:hint="eastAsia"/>
          <w:lang w:val="en-GB" w:bidi="ar-SA"/>
        </w:rPr>
        <w:t xml:space="preserve">, </w:t>
      </w:r>
      <w:r w:rsidR="00671FFE">
        <w:rPr>
          <w:rFonts w:eastAsia="SimSun" w:hint="eastAsia"/>
          <w:lang w:val="en-GB" w:bidi="ar-SA"/>
        </w:rPr>
        <w:t>F</w:t>
      </w:r>
      <w:r w:rsidR="00F07DC1" w:rsidRPr="00292089">
        <w:rPr>
          <w:rFonts w:hint="eastAsia"/>
          <w:lang w:val="en-GB" w:bidi="ar-SA"/>
        </w:rPr>
        <w:t>RAND</w:t>
      </w:r>
      <w:r w:rsidR="002675A1" w:rsidRPr="00292089">
        <w:rPr>
          <w:rFonts w:hint="eastAsia"/>
          <w:lang w:val="en-GB" w:bidi="ar-SA"/>
        </w:rPr>
        <w:t xml:space="preserve"> </w:t>
      </w:r>
      <w:r w:rsidR="006E32F3">
        <w:rPr>
          <w:rFonts w:hint="eastAsia"/>
          <w:lang w:val="en-GB" w:bidi="ar-SA"/>
        </w:rPr>
        <w:t>royalty</w:t>
      </w:r>
      <w:r w:rsidR="00F07DC1" w:rsidRPr="00292089">
        <w:rPr>
          <w:rFonts w:hint="eastAsia"/>
          <w:lang w:val="en-GB" w:bidi="ar-SA"/>
        </w:rPr>
        <w:t xml:space="preserve">, as the most commonly adopted pricing term in compulsory licences, is vague and </w:t>
      </w:r>
      <w:r w:rsidR="00F07DC1" w:rsidRPr="00292089">
        <w:rPr>
          <w:lang w:val="en-GB" w:bidi="ar-SA"/>
        </w:rPr>
        <w:t>controversial</w:t>
      </w:r>
      <w:r w:rsidR="00FC4E72">
        <w:rPr>
          <w:rFonts w:hint="eastAsia"/>
          <w:lang w:val="en-GB" w:bidi="ar-SA"/>
        </w:rPr>
        <w:t xml:space="preserve"> </w:t>
      </w:r>
      <w:r w:rsidR="00FC4E72">
        <w:rPr>
          <w:lang w:val="en-GB" w:bidi="ar-SA"/>
        </w:rPr>
        <w:t>in terms of</w:t>
      </w:r>
      <w:r w:rsidR="00F07DC1" w:rsidRPr="00292089">
        <w:rPr>
          <w:rFonts w:hint="eastAsia"/>
          <w:lang w:val="en-GB" w:bidi="ar-SA"/>
        </w:rPr>
        <w:t xml:space="preserve"> </w:t>
      </w:r>
      <w:r w:rsidR="00F858BB">
        <w:rPr>
          <w:rFonts w:hint="eastAsia"/>
          <w:lang w:val="en-GB" w:bidi="ar-SA"/>
        </w:rPr>
        <w:t xml:space="preserve">deciding the licensing </w:t>
      </w:r>
      <w:r w:rsidR="002675A1" w:rsidRPr="00292089">
        <w:rPr>
          <w:rFonts w:hint="eastAsia"/>
          <w:lang w:val="en-GB" w:bidi="ar-SA"/>
        </w:rPr>
        <w:t>price.</w:t>
      </w:r>
      <w:r w:rsidR="00F07DC1" w:rsidRPr="00292089">
        <w:rPr>
          <w:rFonts w:hint="eastAsia"/>
          <w:lang w:val="en-GB" w:bidi="ar-SA"/>
        </w:rPr>
        <w:t xml:space="preserve"> </w:t>
      </w:r>
      <w:r w:rsidR="007C4C3F" w:rsidRPr="00292089">
        <w:rPr>
          <w:lang w:val="en-GB" w:bidi="ar-SA"/>
        </w:rPr>
        <w:t>I</w:t>
      </w:r>
      <w:r w:rsidR="007C4C3F" w:rsidRPr="00292089">
        <w:rPr>
          <w:rFonts w:hint="eastAsia"/>
          <w:lang w:val="en-GB" w:bidi="ar-SA"/>
        </w:rPr>
        <w:t xml:space="preserve">n practice, </w:t>
      </w:r>
      <w:r w:rsidR="00FC4E72">
        <w:rPr>
          <w:lang w:val="en-GB" w:bidi="ar-SA"/>
        </w:rPr>
        <w:t xml:space="preserve">the Commission carefully avoided dictating </w:t>
      </w:r>
      <w:r w:rsidR="007C4C3F" w:rsidRPr="00292089">
        <w:rPr>
          <w:rFonts w:hint="eastAsia"/>
          <w:lang w:val="en-GB" w:bidi="ar-SA"/>
        </w:rPr>
        <w:t xml:space="preserve">the rate of </w:t>
      </w:r>
      <w:r w:rsidR="00F4469E">
        <w:rPr>
          <w:rFonts w:eastAsia="SimSun" w:hint="eastAsia"/>
          <w:lang w:val="en-GB" w:bidi="ar-SA"/>
        </w:rPr>
        <w:t>F</w:t>
      </w:r>
      <w:r w:rsidR="007C4C3F" w:rsidRPr="00292089">
        <w:rPr>
          <w:rFonts w:hint="eastAsia"/>
          <w:lang w:val="en-GB" w:bidi="ar-SA"/>
        </w:rPr>
        <w:t xml:space="preserve">RAND royalty </w:t>
      </w:r>
      <w:r w:rsidR="00FC4E72">
        <w:rPr>
          <w:lang w:val="en-GB" w:bidi="ar-SA"/>
        </w:rPr>
        <w:t xml:space="preserve">and </w:t>
      </w:r>
      <w:r w:rsidR="00E3349F">
        <w:rPr>
          <w:lang w:val="en-GB" w:bidi="ar-SA"/>
        </w:rPr>
        <w:t>left this issue for the relevant</w:t>
      </w:r>
      <w:r w:rsidR="007C4C3F" w:rsidRPr="00292089">
        <w:rPr>
          <w:rFonts w:hint="eastAsia"/>
          <w:lang w:val="en-GB" w:bidi="ar-SA"/>
        </w:rPr>
        <w:t xml:space="preserve"> parties </w:t>
      </w:r>
      <w:r w:rsidR="00E3349F">
        <w:rPr>
          <w:lang w:val="en-GB" w:bidi="ar-SA"/>
        </w:rPr>
        <w:t>to negotiate</w:t>
      </w:r>
      <w:r w:rsidR="007C4C3F" w:rsidRPr="00292089">
        <w:rPr>
          <w:rFonts w:hint="eastAsia"/>
          <w:lang w:val="en-GB" w:bidi="ar-SA"/>
        </w:rPr>
        <w:t xml:space="preserve">. </w:t>
      </w:r>
      <w:r w:rsidR="000D1915">
        <w:rPr>
          <w:lang w:val="en-GB" w:bidi="ar-SA"/>
        </w:rPr>
        <w:t>European case laws show that va</w:t>
      </w:r>
      <w:r w:rsidR="00377EAB" w:rsidRPr="00292089">
        <w:rPr>
          <w:lang w:val="en-GB" w:bidi="ar-SA"/>
        </w:rPr>
        <w:t xml:space="preserve">rious benchmarks </w:t>
      </w:r>
      <w:r w:rsidR="004606B2" w:rsidRPr="00292089">
        <w:rPr>
          <w:lang w:val="en-GB" w:bidi="ar-SA"/>
        </w:rPr>
        <w:t>have</w:t>
      </w:r>
      <w:r w:rsidR="009A64A7" w:rsidRPr="00292089">
        <w:rPr>
          <w:rFonts w:hint="eastAsia"/>
          <w:lang w:val="en-GB" w:bidi="ar-SA"/>
        </w:rPr>
        <w:t xml:space="preserve"> been used </w:t>
      </w:r>
      <w:r w:rsidR="00377EAB" w:rsidRPr="00292089">
        <w:rPr>
          <w:lang w:val="en-GB" w:bidi="ar-SA"/>
        </w:rPr>
        <w:t>for reaso</w:t>
      </w:r>
      <w:r w:rsidR="00A128A5" w:rsidRPr="00292089">
        <w:rPr>
          <w:lang w:val="en-GB" w:bidi="ar-SA"/>
        </w:rPr>
        <w:t>nable price</w:t>
      </w:r>
      <w:r w:rsidR="004606B2" w:rsidRPr="00292089">
        <w:rPr>
          <w:rFonts w:hint="eastAsia"/>
          <w:lang w:val="en-GB" w:bidi="ar-SA"/>
        </w:rPr>
        <w:t>s</w:t>
      </w:r>
      <w:r w:rsidR="00A128A5" w:rsidRPr="00292089">
        <w:rPr>
          <w:lang w:val="en-GB" w:bidi="ar-SA"/>
        </w:rPr>
        <w:t xml:space="preserve">, </w:t>
      </w:r>
      <w:r w:rsidR="004606B2" w:rsidRPr="00292089">
        <w:rPr>
          <w:rFonts w:hint="eastAsia"/>
          <w:lang w:val="en-GB" w:bidi="ar-SA"/>
        </w:rPr>
        <w:t xml:space="preserve">inter </w:t>
      </w:r>
      <w:r w:rsidR="004606B2" w:rsidRPr="00292089">
        <w:rPr>
          <w:lang w:val="en-GB" w:bidi="ar-SA"/>
        </w:rPr>
        <w:t>ales</w:t>
      </w:r>
      <w:r w:rsidR="004606B2" w:rsidRPr="00292089">
        <w:rPr>
          <w:rFonts w:hint="eastAsia"/>
          <w:lang w:val="en-GB" w:bidi="ar-SA"/>
        </w:rPr>
        <w:t>,</w:t>
      </w:r>
      <w:r w:rsidR="00A128A5" w:rsidRPr="00292089">
        <w:rPr>
          <w:lang w:val="en-GB" w:bidi="ar-SA"/>
        </w:rPr>
        <w:t xml:space="preserve"> market price</w:t>
      </w:r>
      <w:r w:rsidR="00A128A5" w:rsidRPr="00292089">
        <w:rPr>
          <w:rFonts w:hint="eastAsia"/>
          <w:lang w:val="en-GB" w:bidi="ar-SA"/>
        </w:rPr>
        <w:t xml:space="preserve"> </w:t>
      </w:r>
      <w:r w:rsidR="00377EAB" w:rsidRPr="00292089">
        <w:rPr>
          <w:lang w:val="en-GB" w:bidi="ar-SA"/>
        </w:rPr>
        <w:t>and c</w:t>
      </w:r>
      <w:r w:rsidR="00A128A5" w:rsidRPr="00292089">
        <w:rPr>
          <w:lang w:val="en-GB" w:bidi="ar-SA"/>
        </w:rPr>
        <w:t>ost</w:t>
      </w:r>
      <w:r w:rsidR="00FC4E72">
        <w:rPr>
          <w:lang w:val="en-GB" w:bidi="ar-SA"/>
        </w:rPr>
        <w:t xml:space="preserve">-oriented </w:t>
      </w:r>
      <w:r w:rsidR="00377EAB" w:rsidRPr="00292089">
        <w:rPr>
          <w:lang w:val="en-GB" w:bidi="ar-SA"/>
        </w:rPr>
        <w:t>basis.</w:t>
      </w:r>
      <w:r w:rsidR="00A128A5">
        <w:rPr>
          <w:rStyle w:val="FootnoteReference"/>
          <w:rFonts w:eastAsia="SimSun"/>
          <w:lang w:val="en-GB" w:bidi="ar-SA"/>
        </w:rPr>
        <w:footnoteReference w:id="79"/>
      </w:r>
      <w:r w:rsidR="00377EAB" w:rsidRPr="00292089">
        <w:rPr>
          <w:lang w:val="en-GB" w:bidi="ar-SA"/>
        </w:rPr>
        <w:t xml:space="preserve"> </w:t>
      </w:r>
      <w:r w:rsidR="00292089" w:rsidRPr="00292089">
        <w:rPr>
          <w:rFonts w:hint="eastAsia"/>
          <w:lang w:val="en-GB" w:bidi="ar-SA"/>
        </w:rPr>
        <w:t xml:space="preserve">The </w:t>
      </w:r>
      <w:r w:rsidR="00292089" w:rsidRPr="00292089">
        <w:rPr>
          <w:rFonts w:hint="eastAsia"/>
          <w:lang w:val="en-GB" w:bidi="ar-SA"/>
        </w:rPr>
        <w:lastRenderedPageBreak/>
        <w:t xml:space="preserve">Commission explained its measures towards </w:t>
      </w:r>
      <w:r w:rsidR="0012597D">
        <w:rPr>
          <w:rFonts w:hint="eastAsia"/>
          <w:lang w:val="en-GB" w:bidi="ar-SA"/>
        </w:rPr>
        <w:t xml:space="preserve">the </w:t>
      </w:r>
      <w:r w:rsidR="00292089" w:rsidRPr="00292089">
        <w:rPr>
          <w:lang w:val="en-GB" w:bidi="ar-SA"/>
        </w:rPr>
        <w:t>calculation</w:t>
      </w:r>
      <w:r w:rsidR="00292089" w:rsidRPr="00292089">
        <w:rPr>
          <w:rFonts w:hint="eastAsia"/>
          <w:lang w:val="en-GB" w:bidi="ar-SA"/>
        </w:rPr>
        <w:t xml:space="preserve"> of </w:t>
      </w:r>
      <w:r w:rsidR="00F4469E">
        <w:rPr>
          <w:rFonts w:eastAsia="SimSun" w:hint="eastAsia"/>
          <w:lang w:val="en-GB" w:bidi="ar-SA"/>
        </w:rPr>
        <w:t>F</w:t>
      </w:r>
      <w:r w:rsidR="00292089" w:rsidRPr="00292089">
        <w:rPr>
          <w:rFonts w:hint="eastAsia"/>
          <w:lang w:val="en-GB" w:bidi="ar-SA"/>
        </w:rPr>
        <w:t>RAND royalty</w:t>
      </w:r>
      <w:r w:rsidR="0012597D">
        <w:rPr>
          <w:rFonts w:hint="eastAsia"/>
          <w:lang w:val="en-GB" w:bidi="ar-SA"/>
        </w:rPr>
        <w:t xml:space="preserve"> </w:t>
      </w:r>
      <w:r w:rsidR="0012597D">
        <w:rPr>
          <w:lang w:val="en-GB" w:bidi="ar-SA"/>
        </w:rPr>
        <w:t>in the context of standard setting</w:t>
      </w:r>
      <w:r w:rsidR="00292089" w:rsidRPr="00292089">
        <w:rPr>
          <w:rFonts w:hint="eastAsia"/>
          <w:lang w:val="en-GB" w:bidi="ar-SA"/>
        </w:rPr>
        <w:t xml:space="preserve"> </w:t>
      </w:r>
      <w:r w:rsidR="0012597D">
        <w:rPr>
          <w:rFonts w:hint="eastAsia"/>
          <w:lang w:val="en-GB" w:bidi="ar-SA"/>
        </w:rPr>
        <w:t xml:space="preserve">in its </w:t>
      </w:r>
      <w:r w:rsidR="0012597D">
        <w:rPr>
          <w:lang w:val="en-GB" w:bidi="ar-SA"/>
        </w:rPr>
        <w:t xml:space="preserve">Guidelines on </w:t>
      </w:r>
      <w:r w:rsidR="0012597D">
        <w:rPr>
          <w:rFonts w:hint="eastAsia"/>
          <w:lang w:val="en-GB" w:bidi="ar-SA"/>
        </w:rPr>
        <w:t>H</w:t>
      </w:r>
      <w:r w:rsidR="00292089" w:rsidRPr="0012597D">
        <w:rPr>
          <w:lang w:val="en-GB" w:bidi="ar-SA"/>
        </w:rPr>
        <w:t xml:space="preserve">orizontal </w:t>
      </w:r>
      <w:r w:rsidR="0012597D">
        <w:rPr>
          <w:rFonts w:hint="eastAsia"/>
          <w:lang w:val="en-GB" w:bidi="ar-SA"/>
        </w:rPr>
        <w:t>C</w:t>
      </w:r>
      <w:r w:rsidR="0012597D">
        <w:rPr>
          <w:lang w:val="en-GB" w:bidi="ar-SA"/>
        </w:rPr>
        <w:t xml:space="preserve">ooperation </w:t>
      </w:r>
      <w:r w:rsidR="0012597D">
        <w:rPr>
          <w:rFonts w:hint="eastAsia"/>
          <w:lang w:val="en-GB" w:bidi="ar-SA"/>
        </w:rPr>
        <w:t>A</w:t>
      </w:r>
      <w:r w:rsidR="00292089" w:rsidRPr="0012597D">
        <w:rPr>
          <w:lang w:val="en-GB" w:bidi="ar-SA"/>
        </w:rPr>
        <w:t>greements</w:t>
      </w:r>
      <w:r w:rsidR="0012597D">
        <w:rPr>
          <w:rFonts w:hint="eastAsia"/>
          <w:lang w:val="en-GB" w:bidi="ar-SA"/>
        </w:rPr>
        <w:t>.</w:t>
      </w:r>
    </w:p>
    <w:p w:rsidR="00805BD4" w:rsidRPr="00805BD4" w:rsidRDefault="00805BD4" w:rsidP="00805BD4">
      <w:pPr>
        <w:ind w:left="720"/>
        <w:rPr>
          <w:lang w:val="en-GB" w:bidi="ar-SA"/>
        </w:rPr>
      </w:pPr>
      <w:r>
        <w:rPr>
          <w:lang w:val="en-GB"/>
        </w:rPr>
        <w:t>“</w:t>
      </w:r>
      <w:r w:rsidRPr="00613F83">
        <w:rPr>
          <w:lang w:val="en-GB"/>
        </w:rPr>
        <w:t xml:space="preserve">In case of a dispute, the assessment of whether fees charged for access to IPR in the standard-setting context are unfair or unreasonable should be based on whether the fees bear a reasonable relationship to the economic value of the IPR. In </w:t>
      </w:r>
      <w:r w:rsidRPr="00805BD4">
        <w:rPr>
          <w:rFonts w:eastAsia="SimSun"/>
          <w:lang w:val="en-GB" w:bidi="ar-SA"/>
        </w:rPr>
        <w:t>general</w:t>
      </w:r>
      <w:r w:rsidRPr="00613F83">
        <w:rPr>
          <w:lang w:val="en-GB"/>
        </w:rPr>
        <w:t>, there are various methods available to make this assessment. In principle, cost-based methods are not well adapted to this context because of the difficulty in assessing the costs attributable to the development of a particular patent or groups of patents. Instead, it may be possible to compare the licensing fees charged by the company in question for the relevant patents in a competitive environment before the industry has been locked into the standard (</w:t>
      </w:r>
      <w:r w:rsidRPr="00613F83">
        <w:rPr>
          <w:i/>
          <w:iCs/>
          <w:lang w:val="en-GB"/>
        </w:rPr>
        <w:t>ex ante</w:t>
      </w:r>
      <w:r w:rsidRPr="00613F83">
        <w:rPr>
          <w:lang w:val="en-GB"/>
        </w:rPr>
        <w:t>) with those charged after the industry has been locked in (</w:t>
      </w:r>
      <w:r w:rsidRPr="00613F83">
        <w:rPr>
          <w:i/>
          <w:iCs/>
          <w:lang w:val="en-GB"/>
        </w:rPr>
        <w:t>ex post</w:t>
      </w:r>
      <w:r w:rsidRPr="00613F83">
        <w:rPr>
          <w:lang w:val="en-GB"/>
        </w:rPr>
        <w:t xml:space="preserve">). This assumes that the comparison can be made in a consistent and reliable </w:t>
      </w:r>
      <w:r w:rsidR="00613F83" w:rsidRPr="00613F83">
        <w:rPr>
          <w:lang w:val="en-GB"/>
        </w:rPr>
        <w:t>manner.</w:t>
      </w:r>
      <w:r w:rsidRPr="00613F83">
        <w:rPr>
          <w:lang w:val="en-GB"/>
        </w:rPr>
        <w:t>”</w:t>
      </w:r>
      <w:r w:rsidR="0030273B">
        <w:rPr>
          <w:rStyle w:val="FootnoteReference"/>
        </w:rPr>
        <w:footnoteReference w:id="80"/>
      </w:r>
    </w:p>
    <w:p w:rsidR="008F44C3" w:rsidRPr="00DF6515" w:rsidRDefault="00DF6515" w:rsidP="00271C52">
      <w:pPr>
        <w:rPr>
          <w:rFonts w:eastAsia="SimSun"/>
          <w:lang w:val="en-GB" w:bidi="ar-SA"/>
        </w:rPr>
      </w:pPr>
      <w:r>
        <w:rPr>
          <w:rFonts w:cs="Times New Roman"/>
          <w:iCs/>
          <w:szCs w:val="24"/>
          <w:lang w:val="en-GB" w:bidi="ar-SA"/>
        </w:rPr>
        <w:t xml:space="preserve">Although </w:t>
      </w:r>
      <w:r w:rsidR="000D1915">
        <w:rPr>
          <w:rFonts w:cs="Times New Roman"/>
          <w:iCs/>
          <w:szCs w:val="24"/>
          <w:lang w:val="en-GB" w:bidi="ar-SA"/>
        </w:rPr>
        <w:t xml:space="preserve">there </w:t>
      </w:r>
      <w:r w:rsidR="00277483">
        <w:rPr>
          <w:rFonts w:cs="Times New Roman"/>
          <w:iCs/>
          <w:szCs w:val="24"/>
          <w:lang w:val="en-GB" w:bidi="ar-SA"/>
        </w:rPr>
        <w:t>are no detailed rules for royalty setting</w:t>
      </w:r>
      <w:r w:rsidR="000D1915">
        <w:rPr>
          <w:rFonts w:cs="Times New Roman"/>
          <w:iCs/>
          <w:szCs w:val="24"/>
          <w:lang w:val="en-GB" w:bidi="ar-SA"/>
        </w:rPr>
        <w:t xml:space="preserve">, </w:t>
      </w:r>
      <w:r>
        <w:rPr>
          <w:rFonts w:hint="eastAsia"/>
          <w:lang w:val="en-GB" w:bidi="ar-SA"/>
        </w:rPr>
        <w:t>i</w:t>
      </w:r>
      <w:r w:rsidR="00A505A0">
        <w:rPr>
          <w:rFonts w:hint="eastAsia"/>
          <w:lang w:val="en-GB" w:bidi="ar-SA"/>
        </w:rPr>
        <w:t xml:space="preserve">t should bear in mind that </w:t>
      </w:r>
      <w:r w:rsidR="000D1915" w:rsidRPr="00844C55">
        <w:rPr>
          <w:rFonts w:eastAsia="SimSun"/>
          <w:lang w:val="en-GB" w:bidi="ar-SA"/>
        </w:rPr>
        <w:t>IP holders’ market power partly depends on their ability to dictate prices of exploiting the IP rights.</w:t>
      </w:r>
      <w:r w:rsidR="00277483">
        <w:rPr>
          <w:rFonts w:eastAsia="SimSun"/>
          <w:lang w:val="en-GB" w:bidi="ar-SA"/>
        </w:rPr>
        <w:t xml:space="preserve"> Therefore, a</w:t>
      </w:r>
      <w:r w:rsidR="00277483">
        <w:rPr>
          <w:lang w:val="en-GB" w:bidi="ar-SA"/>
        </w:rPr>
        <w:t xml:space="preserve"> </w:t>
      </w:r>
      <w:r w:rsidR="00F4469E">
        <w:rPr>
          <w:rFonts w:eastAsia="SimSun" w:hint="eastAsia"/>
          <w:lang w:val="en-GB" w:bidi="ar-SA"/>
        </w:rPr>
        <w:t>F</w:t>
      </w:r>
      <w:r w:rsidR="00277483">
        <w:rPr>
          <w:lang w:val="en-GB" w:bidi="ar-SA"/>
        </w:rPr>
        <w:t xml:space="preserve">RAND </w:t>
      </w:r>
      <w:r w:rsidR="00271C52">
        <w:rPr>
          <w:rFonts w:hint="eastAsia"/>
          <w:lang w:val="en-GB" w:bidi="ar-SA"/>
        </w:rPr>
        <w:t xml:space="preserve">royalty </w:t>
      </w:r>
      <w:r w:rsidR="006358EC">
        <w:rPr>
          <w:rFonts w:eastAsia="SimSun"/>
          <w:lang w:val="en-GB" w:bidi="ar-SA"/>
        </w:rPr>
        <w:t>represents</w:t>
      </w:r>
      <w:r w:rsidR="00A505A0" w:rsidRPr="00844C55">
        <w:rPr>
          <w:rFonts w:eastAsia="SimSun"/>
          <w:lang w:val="en-GB" w:bidi="ar-SA"/>
        </w:rPr>
        <w:t xml:space="preserve"> a mo</w:t>
      </w:r>
      <w:r w:rsidR="00162D90">
        <w:rPr>
          <w:rFonts w:eastAsia="SimSun"/>
          <w:lang w:val="en-GB" w:bidi="ar-SA"/>
        </w:rPr>
        <w:t xml:space="preserve">dest return on invested capital, and should </w:t>
      </w:r>
      <w:r w:rsidR="00277483">
        <w:rPr>
          <w:rFonts w:eastAsia="SimSun"/>
          <w:lang w:val="en-GB" w:bidi="ar-SA"/>
        </w:rPr>
        <w:t>not</w:t>
      </w:r>
      <w:r w:rsidR="00A505A0" w:rsidRPr="00844C55">
        <w:rPr>
          <w:rFonts w:eastAsia="SimSun"/>
          <w:lang w:val="en-GB" w:bidi="ar-SA"/>
        </w:rPr>
        <w:t xml:space="preserve"> inclu</w:t>
      </w:r>
      <w:r w:rsidR="00271C52">
        <w:rPr>
          <w:rFonts w:eastAsia="SimSun"/>
          <w:lang w:val="en-GB" w:bidi="ar-SA"/>
        </w:rPr>
        <w:t>de the monopoly premium that a</w:t>
      </w:r>
      <w:r w:rsidR="00271C52">
        <w:rPr>
          <w:rFonts w:hint="eastAsia"/>
          <w:lang w:val="en-GB" w:bidi="ar-SA"/>
        </w:rPr>
        <w:t xml:space="preserve">n </w:t>
      </w:r>
      <w:r w:rsidR="00D8492E">
        <w:rPr>
          <w:rFonts w:hint="eastAsia"/>
          <w:lang w:val="en-GB" w:bidi="ar-SA"/>
        </w:rPr>
        <w:t xml:space="preserve">IPR holder </w:t>
      </w:r>
      <w:r w:rsidR="00A505A0" w:rsidRPr="00844C55">
        <w:rPr>
          <w:rFonts w:eastAsia="SimSun"/>
          <w:lang w:val="en-GB" w:bidi="ar-SA"/>
        </w:rPr>
        <w:t>otherwise can r</w:t>
      </w:r>
      <w:r w:rsidR="00271C52">
        <w:rPr>
          <w:rFonts w:eastAsia="SimSun"/>
          <w:lang w:val="en-GB" w:bidi="ar-SA"/>
        </w:rPr>
        <w:t xml:space="preserve">eceive by controlling </w:t>
      </w:r>
      <w:r w:rsidR="00271C52">
        <w:rPr>
          <w:rFonts w:hint="eastAsia"/>
          <w:lang w:val="en-GB" w:bidi="ar-SA"/>
        </w:rPr>
        <w:t>the access</w:t>
      </w:r>
      <w:r w:rsidR="00A505A0" w:rsidRPr="00844C55">
        <w:rPr>
          <w:rFonts w:eastAsia="SimSun"/>
          <w:lang w:val="en-GB" w:bidi="ar-SA"/>
        </w:rPr>
        <w:t>.</w:t>
      </w:r>
      <w:r w:rsidR="00A505A0" w:rsidRPr="00844C55">
        <w:rPr>
          <w:rStyle w:val="FootnoteReference"/>
          <w:rFonts w:eastAsia="SimSun"/>
          <w:lang w:val="en-GB" w:bidi="ar-SA"/>
        </w:rPr>
        <w:footnoteReference w:id="81"/>
      </w:r>
      <w:r w:rsidR="00271C52">
        <w:rPr>
          <w:rFonts w:hint="eastAsia"/>
          <w:lang w:val="en-GB" w:bidi="ar-SA"/>
        </w:rPr>
        <w:t xml:space="preserve"> </w:t>
      </w:r>
      <w:r w:rsidR="00271C52">
        <w:rPr>
          <w:lang w:val="en-GB" w:bidi="ar-SA"/>
        </w:rPr>
        <w:t>T</w:t>
      </w:r>
      <w:r w:rsidR="00277483">
        <w:rPr>
          <w:rFonts w:hint="eastAsia"/>
          <w:lang w:val="en-GB" w:bidi="ar-SA"/>
        </w:rPr>
        <w:t>he</w:t>
      </w:r>
      <w:r w:rsidR="00277483">
        <w:rPr>
          <w:lang w:val="en-GB" w:bidi="ar-SA"/>
        </w:rPr>
        <w:t xml:space="preserve"> </w:t>
      </w:r>
      <w:r w:rsidR="00126C43">
        <w:rPr>
          <w:lang w:val="en-GB" w:bidi="ar-SA"/>
        </w:rPr>
        <w:t xml:space="preserve">same </w:t>
      </w:r>
      <w:r w:rsidR="00162D90">
        <w:rPr>
          <w:lang w:val="en-GB" w:bidi="ar-SA"/>
        </w:rPr>
        <w:t xml:space="preserve">opinion can be found in the Commission’s </w:t>
      </w:r>
      <w:r w:rsidR="00162D90" w:rsidRPr="00162D90">
        <w:rPr>
          <w:i/>
          <w:iCs/>
          <w:lang w:val="en-GB" w:bidi="ar-SA"/>
        </w:rPr>
        <w:t>Microsoft</w:t>
      </w:r>
      <w:r w:rsidR="00162D90">
        <w:rPr>
          <w:rFonts w:cs="Times New Roman" w:hint="eastAsia"/>
          <w:iCs/>
          <w:szCs w:val="24"/>
          <w:lang w:val="en-GB" w:bidi="ar-SA"/>
        </w:rPr>
        <w:t xml:space="preserve"> decision</w:t>
      </w:r>
      <w:r>
        <w:rPr>
          <w:rFonts w:cs="Times New Roman" w:hint="eastAsia"/>
          <w:iCs/>
          <w:szCs w:val="24"/>
          <w:lang w:val="en-GB" w:bidi="ar-SA"/>
        </w:rPr>
        <w:t xml:space="preserve"> that a </w:t>
      </w:r>
      <w:r w:rsidR="00F4469E">
        <w:rPr>
          <w:rFonts w:eastAsia="SimSun" w:cs="Times New Roman" w:hint="eastAsia"/>
          <w:iCs/>
          <w:szCs w:val="24"/>
          <w:lang w:val="en-GB" w:bidi="ar-SA"/>
        </w:rPr>
        <w:t>F</w:t>
      </w:r>
      <w:r w:rsidR="00156232">
        <w:rPr>
          <w:rFonts w:cs="Times New Roman" w:hint="eastAsia"/>
          <w:iCs/>
          <w:szCs w:val="24"/>
          <w:lang w:val="en-GB" w:bidi="ar-SA"/>
        </w:rPr>
        <w:t xml:space="preserve">RAND </w:t>
      </w:r>
      <w:r>
        <w:rPr>
          <w:rFonts w:cs="Times New Roman" w:hint="eastAsia"/>
          <w:iCs/>
          <w:szCs w:val="24"/>
          <w:lang w:val="en-GB" w:bidi="ar-SA"/>
        </w:rPr>
        <w:t xml:space="preserve">royalty </w:t>
      </w:r>
      <w:r w:rsidR="00156232">
        <w:rPr>
          <w:rFonts w:cs="Times New Roman" w:hint="eastAsia"/>
          <w:iCs/>
          <w:szCs w:val="24"/>
          <w:lang w:val="en-GB" w:bidi="ar-SA"/>
        </w:rPr>
        <w:t>s</w:t>
      </w:r>
      <w:r w:rsidR="00271C52" w:rsidRPr="00DF6515">
        <w:rPr>
          <w:rFonts w:cs="Times New Roman"/>
          <w:iCs/>
          <w:szCs w:val="24"/>
          <w:lang w:val="en-GB" w:bidi="ar-SA"/>
        </w:rPr>
        <w:t xml:space="preserve">hould </w:t>
      </w:r>
      <w:r>
        <w:rPr>
          <w:rFonts w:cs="Times New Roman"/>
          <w:iCs/>
          <w:szCs w:val="24"/>
          <w:lang w:val="en-GB" w:bidi="ar-SA"/>
        </w:rPr>
        <w:t>not reflect</w:t>
      </w:r>
      <w:r w:rsidR="00271C52" w:rsidRPr="00DF6515">
        <w:rPr>
          <w:rFonts w:cs="Times New Roman"/>
          <w:iCs/>
          <w:szCs w:val="24"/>
          <w:lang w:val="en-GB" w:bidi="ar-SA"/>
        </w:rPr>
        <w:t xml:space="preserve"> the</w:t>
      </w:r>
      <w:r w:rsidR="00271C52" w:rsidRPr="00DF6515">
        <w:rPr>
          <w:rFonts w:cs="Times New Roman" w:hint="eastAsia"/>
          <w:iCs/>
          <w:szCs w:val="24"/>
          <w:lang w:val="en-GB" w:bidi="ar-SA"/>
        </w:rPr>
        <w:t xml:space="preserve"> </w:t>
      </w:r>
      <w:r>
        <w:rPr>
          <w:rFonts w:cs="Times New Roman"/>
          <w:iCs/>
          <w:szCs w:val="24"/>
          <w:lang w:val="en-GB" w:bidi="ar-SA"/>
        </w:rPr>
        <w:t>“</w:t>
      </w:r>
      <w:r w:rsidR="00271C52" w:rsidRPr="00DF6515">
        <w:rPr>
          <w:rFonts w:cs="Times New Roman"/>
          <w:iCs/>
          <w:szCs w:val="24"/>
          <w:lang w:val="en-GB" w:bidi="ar-SA"/>
        </w:rPr>
        <w:t>strategic value</w:t>
      </w:r>
      <w:r>
        <w:rPr>
          <w:rFonts w:cs="Times New Roman"/>
          <w:iCs/>
          <w:szCs w:val="24"/>
          <w:lang w:val="en-GB" w:bidi="ar-SA"/>
        </w:rPr>
        <w:t>”</w:t>
      </w:r>
      <w:r w:rsidR="00271C52" w:rsidRPr="00DF6515">
        <w:rPr>
          <w:rFonts w:cs="Times New Roman"/>
          <w:iCs/>
          <w:szCs w:val="24"/>
          <w:lang w:val="en-GB" w:bidi="ar-SA"/>
        </w:rPr>
        <w:t xml:space="preserve"> stemming from </w:t>
      </w:r>
      <w:r>
        <w:rPr>
          <w:rFonts w:cs="Times New Roman" w:hint="eastAsia"/>
          <w:iCs/>
          <w:szCs w:val="24"/>
          <w:lang w:val="en-GB" w:bidi="ar-SA"/>
        </w:rPr>
        <w:t>a dominant firm</w:t>
      </w:r>
      <w:r>
        <w:rPr>
          <w:rFonts w:cs="Times New Roman"/>
          <w:iCs/>
          <w:szCs w:val="24"/>
          <w:lang w:val="en-GB" w:bidi="ar-SA"/>
        </w:rPr>
        <w:t>’</w:t>
      </w:r>
      <w:r w:rsidR="00162D90">
        <w:rPr>
          <w:rFonts w:cs="Times New Roman"/>
          <w:iCs/>
          <w:szCs w:val="24"/>
          <w:lang w:val="en-GB" w:bidi="ar-SA"/>
        </w:rPr>
        <w:t>s</w:t>
      </w:r>
      <w:r>
        <w:rPr>
          <w:rFonts w:cs="Times New Roman"/>
          <w:iCs/>
          <w:szCs w:val="24"/>
          <w:lang w:val="en-GB" w:bidi="ar-SA"/>
        </w:rPr>
        <w:t xml:space="preserve"> power</w:t>
      </w:r>
      <w:r w:rsidR="00156232">
        <w:rPr>
          <w:rFonts w:cs="Times New Roman" w:hint="eastAsia"/>
          <w:iCs/>
          <w:szCs w:val="24"/>
          <w:lang w:val="en-GB" w:bidi="ar-SA"/>
        </w:rPr>
        <w:t xml:space="preserve"> in the relevant </w:t>
      </w:r>
      <w:r w:rsidR="00156232">
        <w:rPr>
          <w:rFonts w:cs="Times New Roman"/>
          <w:iCs/>
          <w:szCs w:val="24"/>
          <w:lang w:val="en-GB" w:bidi="ar-SA"/>
        </w:rPr>
        <w:t>market</w:t>
      </w:r>
      <w:r>
        <w:rPr>
          <w:rFonts w:cs="Times New Roman" w:hint="eastAsia"/>
          <w:iCs/>
          <w:szCs w:val="24"/>
          <w:lang w:val="en-GB" w:bidi="ar-SA"/>
        </w:rPr>
        <w:t>.</w:t>
      </w:r>
      <w:r>
        <w:rPr>
          <w:rStyle w:val="FootnoteReference"/>
          <w:rFonts w:cs="Times New Roman"/>
          <w:iCs/>
          <w:szCs w:val="24"/>
          <w:lang w:val="en-GB" w:bidi="ar-SA"/>
        </w:rPr>
        <w:footnoteReference w:id="82"/>
      </w:r>
      <w:r>
        <w:rPr>
          <w:rFonts w:cs="Times New Roman" w:hint="eastAsia"/>
          <w:iCs/>
          <w:szCs w:val="24"/>
          <w:lang w:val="en-GB" w:bidi="ar-SA"/>
        </w:rPr>
        <w:t xml:space="preserve"> </w:t>
      </w:r>
      <w:r w:rsidR="00095631">
        <w:rPr>
          <w:rFonts w:cs="Times New Roman"/>
          <w:iCs/>
          <w:szCs w:val="24"/>
          <w:lang w:val="en-GB" w:bidi="ar-SA"/>
        </w:rPr>
        <w:t>N</w:t>
      </w:r>
      <w:r w:rsidR="00095631">
        <w:rPr>
          <w:rFonts w:cs="Times New Roman" w:hint="eastAsia"/>
          <w:iCs/>
          <w:szCs w:val="24"/>
          <w:lang w:val="en-GB" w:bidi="ar-SA"/>
        </w:rPr>
        <w:t>o doubt, t</w:t>
      </w:r>
      <w:r w:rsidR="00095631">
        <w:rPr>
          <w:lang w:val="en-GB" w:bidi="ar-SA"/>
        </w:rPr>
        <w:t xml:space="preserve">here is no easy way to </w:t>
      </w:r>
      <w:r w:rsidR="006E1222">
        <w:rPr>
          <w:rFonts w:eastAsia="SimSun" w:hint="eastAsia"/>
          <w:lang w:val="en-GB" w:bidi="ar-SA"/>
        </w:rPr>
        <w:t>calculate</w:t>
      </w:r>
      <w:r w:rsidR="00095631">
        <w:rPr>
          <w:lang w:val="en-GB" w:bidi="ar-SA"/>
        </w:rPr>
        <w:t xml:space="preserve"> a </w:t>
      </w:r>
      <w:r w:rsidR="00F4469E">
        <w:rPr>
          <w:rFonts w:eastAsia="SimSun" w:hint="eastAsia"/>
          <w:lang w:val="en-GB" w:bidi="ar-SA"/>
        </w:rPr>
        <w:t>F</w:t>
      </w:r>
      <w:r w:rsidR="00095631">
        <w:rPr>
          <w:lang w:val="en-GB" w:bidi="ar-SA"/>
        </w:rPr>
        <w:t>RAND royalty in a compulsory license.</w:t>
      </w:r>
      <w:r w:rsidR="005A7D7D">
        <w:rPr>
          <w:rFonts w:hint="eastAsia"/>
          <w:lang w:val="en-GB" w:bidi="ar-SA"/>
        </w:rPr>
        <w:t xml:space="preserve"> </w:t>
      </w:r>
      <w:r w:rsidR="005A7D7D">
        <w:rPr>
          <w:lang w:val="en-GB" w:bidi="ar-SA"/>
        </w:rPr>
        <w:t>I</w:t>
      </w:r>
      <w:r w:rsidR="005A7D7D">
        <w:rPr>
          <w:rFonts w:hint="eastAsia"/>
          <w:lang w:val="en-GB" w:bidi="ar-SA"/>
        </w:rPr>
        <w:t>t will require much effort to choose a</w:t>
      </w:r>
      <w:r w:rsidR="00FC4E72">
        <w:rPr>
          <w:lang w:val="en-GB" w:bidi="ar-SA"/>
        </w:rPr>
        <w:t>n app</w:t>
      </w:r>
      <w:r w:rsidR="00FC4E72">
        <w:rPr>
          <w:rFonts w:eastAsia="SimSun" w:hint="eastAsia"/>
          <w:lang w:val="en-GB" w:bidi="ar-SA"/>
        </w:rPr>
        <w:t>rop</w:t>
      </w:r>
      <w:r w:rsidR="00FC4E72">
        <w:rPr>
          <w:rFonts w:eastAsia="SimSun"/>
          <w:lang w:val="en-GB" w:bidi="ar-SA"/>
        </w:rPr>
        <w:t>riate</w:t>
      </w:r>
      <w:r w:rsidR="006E1222">
        <w:rPr>
          <w:rFonts w:eastAsia="SimSun" w:hint="eastAsia"/>
          <w:lang w:val="en-GB" w:bidi="ar-SA"/>
        </w:rPr>
        <w:t xml:space="preserve"> </w:t>
      </w:r>
      <w:r w:rsidR="005A7D7D">
        <w:rPr>
          <w:rFonts w:hint="eastAsia"/>
          <w:lang w:val="en-GB" w:bidi="ar-SA"/>
        </w:rPr>
        <w:t xml:space="preserve">level of price for the licensed IP, which is not </w:t>
      </w:r>
      <w:r w:rsidR="005A7D7D">
        <w:rPr>
          <w:lang w:val="en-GB" w:bidi="ar-SA"/>
        </w:rPr>
        <w:t xml:space="preserve">so </w:t>
      </w:r>
      <w:r w:rsidR="006E1222">
        <w:rPr>
          <w:rFonts w:hint="eastAsia"/>
          <w:lang w:val="en-GB" w:bidi="ar-SA"/>
        </w:rPr>
        <w:t xml:space="preserve">high to stop access, or so </w:t>
      </w:r>
      <w:r w:rsidR="006E1222">
        <w:rPr>
          <w:rFonts w:eastAsia="SimSun" w:hint="eastAsia"/>
          <w:lang w:val="en-GB" w:bidi="ar-SA"/>
        </w:rPr>
        <w:t>low</w:t>
      </w:r>
      <w:r w:rsidR="005A7D7D">
        <w:rPr>
          <w:rFonts w:hint="eastAsia"/>
          <w:lang w:val="en-GB" w:bidi="ar-SA"/>
        </w:rPr>
        <w:t xml:space="preserve"> to discourage </w:t>
      </w:r>
      <w:r w:rsidR="005A7D7D">
        <w:rPr>
          <w:lang w:val="en-GB" w:bidi="ar-SA"/>
        </w:rPr>
        <w:t>future</w:t>
      </w:r>
      <w:r w:rsidR="005A7D7D">
        <w:rPr>
          <w:rFonts w:hint="eastAsia"/>
          <w:lang w:val="en-GB" w:bidi="ar-SA"/>
        </w:rPr>
        <w:t xml:space="preserve"> innovation. </w:t>
      </w:r>
    </w:p>
    <w:p w:rsidR="00115672" w:rsidRDefault="00F07DC1" w:rsidP="002B6D6C">
      <w:pPr>
        <w:pStyle w:val="Heading3"/>
        <w:rPr>
          <w:rFonts w:eastAsia="SimSun"/>
          <w:lang w:val="en-GB" w:bidi="ar-SA"/>
        </w:rPr>
      </w:pPr>
      <w:r w:rsidRPr="00F07DC1">
        <w:rPr>
          <w:rFonts w:eastAsia="SimSun"/>
          <w:lang w:val="en-GB" w:bidi="ar-SA"/>
        </w:rPr>
        <w:t>Monitoring</w:t>
      </w:r>
      <w:r w:rsidR="00F12E93">
        <w:rPr>
          <w:rFonts w:eastAsia="SimSun"/>
          <w:lang w:val="en-GB" w:bidi="ar-SA"/>
        </w:rPr>
        <w:t xml:space="preserve"> Trustee</w:t>
      </w:r>
    </w:p>
    <w:p w:rsidR="009D228E" w:rsidRDefault="00115672" w:rsidP="006D1595">
      <w:pPr>
        <w:rPr>
          <w:lang w:val="en-GB" w:bidi="ar-SA"/>
        </w:rPr>
      </w:pPr>
      <w:r>
        <w:rPr>
          <w:lang w:val="en-GB" w:bidi="ar-SA"/>
        </w:rPr>
        <w:t>B</w:t>
      </w:r>
      <w:r w:rsidRPr="00115672">
        <w:rPr>
          <w:lang w:val="en-GB" w:bidi="ar-SA"/>
        </w:rPr>
        <w:t xml:space="preserve">ehavioural remedies </w:t>
      </w:r>
      <w:r w:rsidR="00671FFE">
        <w:rPr>
          <w:rFonts w:eastAsia="SimSun" w:hint="eastAsia"/>
          <w:lang w:val="en-GB" w:bidi="ar-SA"/>
        </w:rPr>
        <w:t>normally</w:t>
      </w:r>
      <w:r w:rsidR="00671FFE">
        <w:rPr>
          <w:lang w:val="en-GB" w:bidi="ar-SA"/>
        </w:rPr>
        <w:t xml:space="preserve"> require</w:t>
      </w:r>
      <w:r>
        <w:rPr>
          <w:lang w:val="en-GB" w:bidi="ar-SA"/>
        </w:rPr>
        <w:t xml:space="preserve"> long-term monitoring</w:t>
      </w:r>
      <w:r w:rsidR="00AD4DE5">
        <w:rPr>
          <w:lang w:val="en-GB" w:bidi="ar-SA"/>
        </w:rPr>
        <w:t xml:space="preserve">. </w:t>
      </w:r>
      <w:r w:rsidR="009D228E">
        <w:rPr>
          <w:lang w:val="en-GB" w:bidi="ar-SA"/>
        </w:rPr>
        <w:t>The</w:t>
      </w:r>
      <w:r w:rsidR="00C918F8">
        <w:rPr>
          <w:lang w:val="en-GB" w:bidi="ar-SA"/>
        </w:rPr>
        <w:t xml:space="preserve"> Commission </w:t>
      </w:r>
      <w:r w:rsidR="009A5FB7">
        <w:rPr>
          <w:lang w:val="en-GB" w:bidi="ar-SA"/>
        </w:rPr>
        <w:t xml:space="preserve">adopted a number of measures to monitor the parties’ compliance with their commitments, including </w:t>
      </w:r>
      <w:r w:rsidR="009A5FB7">
        <w:rPr>
          <w:lang w:val="en-GB" w:bidi="ar-SA"/>
        </w:rPr>
        <w:lastRenderedPageBreak/>
        <w:t>periodical repo</w:t>
      </w:r>
      <w:r w:rsidR="00651555">
        <w:rPr>
          <w:lang w:val="en-GB" w:bidi="ar-SA"/>
        </w:rPr>
        <w:t>rts</w:t>
      </w:r>
      <w:r w:rsidR="009A5FB7">
        <w:rPr>
          <w:lang w:val="en-GB" w:bidi="ar-SA"/>
        </w:rPr>
        <w:t xml:space="preserve">, </w:t>
      </w:r>
      <w:r w:rsidR="00651555">
        <w:rPr>
          <w:lang w:val="en-GB" w:bidi="ar-SA"/>
        </w:rPr>
        <w:t xml:space="preserve">third party trustees. </w:t>
      </w:r>
      <w:r w:rsidR="0066557C">
        <w:rPr>
          <w:lang w:val="en-GB" w:bidi="ar-SA"/>
        </w:rPr>
        <w:t xml:space="preserve">The involvement of a </w:t>
      </w:r>
      <w:r w:rsidR="0066557C" w:rsidRPr="002F1C8E">
        <w:rPr>
          <w:rFonts w:ascii="TimesNewRoman" w:hAnsi="TimesNewRoman" w:cs="TimesNewRoman"/>
          <w:szCs w:val="24"/>
          <w:lang w:val="en-GB"/>
        </w:rPr>
        <w:t>monitoring trustee</w:t>
      </w:r>
      <w:r w:rsidR="0066557C">
        <w:rPr>
          <w:lang w:val="en-GB" w:bidi="ar-SA"/>
        </w:rPr>
        <w:t xml:space="preserve"> is believed to be an effective monitoring mechanism</w:t>
      </w:r>
      <w:r w:rsidR="0066557C">
        <w:rPr>
          <w:rFonts w:eastAsia="SimSun" w:hint="eastAsia"/>
          <w:lang w:val="en-GB" w:bidi="ar-SA"/>
        </w:rPr>
        <w:t>.</w:t>
      </w:r>
      <w:r w:rsidR="0066557C" w:rsidRPr="0066557C">
        <w:rPr>
          <w:rStyle w:val="FootnoteReference"/>
          <w:lang w:val="en-GB" w:bidi="ar-SA"/>
        </w:rPr>
        <w:t xml:space="preserve"> </w:t>
      </w:r>
      <w:r w:rsidR="0066557C">
        <w:rPr>
          <w:rStyle w:val="FootnoteReference"/>
          <w:lang w:val="en-GB" w:bidi="ar-SA"/>
        </w:rPr>
        <w:footnoteReference w:id="83"/>
      </w:r>
      <w:r w:rsidR="0066557C">
        <w:rPr>
          <w:lang w:val="en-GB" w:bidi="ar-SA"/>
        </w:rPr>
        <w:t xml:space="preserve"> </w:t>
      </w:r>
      <w:r w:rsidR="0066557C">
        <w:rPr>
          <w:rFonts w:eastAsia="SimSun" w:hint="eastAsia"/>
          <w:lang w:val="en-GB" w:bidi="ar-SA"/>
        </w:rPr>
        <w:t xml:space="preserve"> </w:t>
      </w:r>
      <w:r w:rsidR="001A26AB">
        <w:rPr>
          <w:lang w:val="en-GB" w:bidi="ar-SA"/>
        </w:rPr>
        <w:t xml:space="preserve">The monitoring trustee is the Commission’s “eyes and ears” and carries out the tasks designated by the Commission to ensure </w:t>
      </w:r>
      <w:r w:rsidR="004A0723">
        <w:rPr>
          <w:rFonts w:eastAsia="SimSun" w:hint="eastAsia"/>
          <w:lang w:val="en-GB" w:bidi="ar-SA"/>
        </w:rPr>
        <w:t xml:space="preserve">the </w:t>
      </w:r>
      <w:r w:rsidR="001A26AB">
        <w:rPr>
          <w:lang w:val="en-GB" w:bidi="ar-SA"/>
        </w:rPr>
        <w:t>compliance with</w:t>
      </w:r>
      <w:r w:rsidR="004A0723">
        <w:rPr>
          <w:lang w:val="en-GB" w:bidi="ar-SA"/>
        </w:rPr>
        <w:t xml:space="preserve"> </w:t>
      </w:r>
      <w:r w:rsidR="00671FFE">
        <w:rPr>
          <w:rFonts w:eastAsia="SimSun" w:hint="eastAsia"/>
          <w:lang w:val="en-GB" w:bidi="ar-SA"/>
        </w:rPr>
        <w:t xml:space="preserve">merger </w:t>
      </w:r>
      <w:r w:rsidR="004A0723">
        <w:rPr>
          <w:lang w:val="en-GB" w:bidi="ar-SA"/>
        </w:rPr>
        <w:t>remedies</w:t>
      </w:r>
      <w:r w:rsidR="001A26AB">
        <w:rPr>
          <w:lang w:val="en-GB" w:bidi="ar-SA"/>
        </w:rPr>
        <w:t>.</w:t>
      </w:r>
      <w:r w:rsidR="001A26AB" w:rsidRPr="00CB426F">
        <w:rPr>
          <w:rStyle w:val="FootnoteReference"/>
          <w:lang w:val="en-GB" w:bidi="ar-SA"/>
        </w:rPr>
        <w:t xml:space="preserve"> </w:t>
      </w:r>
      <w:r w:rsidR="001A26AB">
        <w:rPr>
          <w:rStyle w:val="FootnoteReference"/>
          <w:lang w:val="en-GB" w:bidi="ar-SA"/>
        </w:rPr>
        <w:footnoteReference w:id="84"/>
      </w:r>
      <w:r w:rsidR="001A26AB">
        <w:rPr>
          <w:rStyle w:val="FootnoteReference"/>
          <w:lang w:val="en-GB" w:bidi="ar-SA"/>
        </w:rPr>
        <w:t xml:space="preserve"> </w:t>
      </w:r>
      <w:r w:rsidR="00754B8A">
        <w:rPr>
          <w:rFonts w:cs="Times New Roman"/>
          <w:szCs w:val="24"/>
          <w:lang w:val="en-GB"/>
        </w:rPr>
        <w:t>Monitoring trustees can spare a lot of resource of the Commission from daily oversight and devote</w:t>
      </w:r>
      <w:r w:rsidR="00754B8A">
        <w:rPr>
          <w:rFonts w:cs="Times New Roman" w:hint="eastAsia"/>
          <w:szCs w:val="24"/>
          <w:lang w:val="en-GB"/>
        </w:rPr>
        <w:t xml:space="preserve"> necessary</w:t>
      </w:r>
      <w:r w:rsidR="00754B8A">
        <w:rPr>
          <w:rFonts w:cs="Times New Roman"/>
          <w:szCs w:val="24"/>
          <w:lang w:val="en-GB"/>
        </w:rPr>
        <w:t xml:space="preserve"> expert</w:t>
      </w:r>
      <w:r w:rsidR="00754B8A">
        <w:rPr>
          <w:rFonts w:cs="Times New Roman" w:hint="eastAsia"/>
          <w:szCs w:val="24"/>
          <w:lang w:val="en-GB"/>
        </w:rPr>
        <w:t>ise</w:t>
      </w:r>
      <w:r w:rsidR="00754B8A">
        <w:rPr>
          <w:rFonts w:cs="Times New Roman"/>
          <w:szCs w:val="24"/>
          <w:lang w:val="en-GB"/>
        </w:rPr>
        <w:t xml:space="preserve"> for a better understanding of the dynamic of </w:t>
      </w:r>
      <w:r w:rsidR="00671FFE">
        <w:rPr>
          <w:rFonts w:eastAsia="SimSun" w:cs="Times New Roman" w:hint="eastAsia"/>
          <w:szCs w:val="24"/>
          <w:lang w:val="en-GB"/>
        </w:rPr>
        <w:t>merger remedy</w:t>
      </w:r>
      <w:r w:rsidR="00754B8A">
        <w:rPr>
          <w:rFonts w:cs="Times New Roman"/>
          <w:szCs w:val="24"/>
          <w:lang w:val="en-GB"/>
        </w:rPr>
        <w:t xml:space="preserve"> enforcement. </w:t>
      </w:r>
      <w:r w:rsidR="00754B8A">
        <w:rPr>
          <w:rFonts w:eastAsia="SimSun" w:cs="Times New Roman" w:hint="eastAsia"/>
          <w:szCs w:val="24"/>
          <w:lang w:val="en-GB"/>
        </w:rPr>
        <w:t xml:space="preserve">The Commission has increasingly required for the appointment of a monitoring trustee to oversee the compliance of merger </w:t>
      </w:r>
      <w:r w:rsidR="00754B8A">
        <w:rPr>
          <w:rFonts w:eastAsia="SimSun" w:cs="Times New Roman"/>
          <w:szCs w:val="24"/>
          <w:lang w:val="en-GB"/>
        </w:rPr>
        <w:t>remedies</w:t>
      </w:r>
      <w:r w:rsidR="00754B8A">
        <w:rPr>
          <w:rFonts w:eastAsia="SimSun" w:cs="Times New Roman" w:hint="eastAsia"/>
          <w:szCs w:val="24"/>
          <w:lang w:val="en-GB"/>
        </w:rPr>
        <w:t>.</w:t>
      </w:r>
      <w:r w:rsidR="00754B8A">
        <w:rPr>
          <w:rStyle w:val="FootnoteReference"/>
          <w:rFonts w:eastAsia="SimSun" w:cs="Times New Roman"/>
          <w:szCs w:val="24"/>
          <w:lang w:val="en-GB"/>
        </w:rPr>
        <w:footnoteReference w:id="85"/>
      </w:r>
    </w:p>
    <w:p w:rsidR="00303E4A" w:rsidRDefault="0066557C" w:rsidP="00497FB2">
      <w:pPr>
        <w:rPr>
          <w:rFonts w:cs="Times New Roman"/>
          <w:szCs w:val="24"/>
          <w:lang w:val="en-GB"/>
        </w:rPr>
      </w:pPr>
      <w:r>
        <w:rPr>
          <w:rFonts w:eastAsia="SimSun" w:hint="eastAsia"/>
          <w:lang w:val="en-GB" w:bidi="ar-SA"/>
        </w:rPr>
        <w:t xml:space="preserve">It is </w:t>
      </w:r>
      <w:r>
        <w:rPr>
          <w:lang w:val="en-GB" w:bidi="ar-SA"/>
        </w:rPr>
        <w:t xml:space="preserve">in </w:t>
      </w:r>
      <w:r w:rsidRPr="001A26AB">
        <w:rPr>
          <w:i/>
          <w:iCs/>
          <w:lang w:val="en-GB" w:bidi="ar-SA"/>
        </w:rPr>
        <w:t>Microsoft</w:t>
      </w:r>
      <w:r>
        <w:rPr>
          <w:lang w:val="en-GB" w:bidi="ar-SA"/>
        </w:rPr>
        <w:t xml:space="preserve"> </w:t>
      </w:r>
      <w:r>
        <w:rPr>
          <w:rFonts w:eastAsia="SimSun" w:hint="eastAsia"/>
          <w:lang w:val="en-GB" w:bidi="ar-SA"/>
        </w:rPr>
        <w:t>that t</w:t>
      </w:r>
      <w:r w:rsidR="001A26AB">
        <w:rPr>
          <w:lang w:val="en-GB" w:bidi="ar-SA"/>
        </w:rPr>
        <w:t>he Commission first required appointing a monitoring trustee for a compulsory licensing</w:t>
      </w:r>
      <w:r>
        <w:rPr>
          <w:rFonts w:eastAsia="SimSun" w:hint="eastAsia"/>
          <w:lang w:val="en-GB" w:bidi="ar-SA"/>
        </w:rPr>
        <w:t xml:space="preserve"> in</w:t>
      </w:r>
      <w:r>
        <w:rPr>
          <w:lang w:val="en-GB" w:bidi="ar-SA"/>
        </w:rPr>
        <w:t xml:space="preserve"> antitrust </w:t>
      </w:r>
      <w:r>
        <w:rPr>
          <w:rFonts w:eastAsia="SimSun" w:hint="eastAsia"/>
          <w:lang w:val="en-GB" w:bidi="ar-SA"/>
        </w:rPr>
        <w:t>case</w:t>
      </w:r>
      <w:r w:rsidR="001A26AB">
        <w:rPr>
          <w:lang w:val="en-GB"/>
        </w:rPr>
        <w:t xml:space="preserve">. </w:t>
      </w:r>
      <w:r w:rsidR="006D1595" w:rsidRPr="006D1595">
        <w:rPr>
          <w:lang w:val="en-GB"/>
        </w:rPr>
        <w:t>Th</w:t>
      </w:r>
      <w:r w:rsidR="001A26AB" w:rsidRPr="001A26AB">
        <w:rPr>
          <w:lang w:val="en-GB"/>
        </w:rPr>
        <w:t>e Monitoring Trustee</w:t>
      </w:r>
      <w:r w:rsidR="001A26AB">
        <w:rPr>
          <w:lang w:val="en-GB"/>
        </w:rPr>
        <w:t xml:space="preserve"> was given very wide power</w:t>
      </w:r>
      <w:r w:rsidR="006D1595">
        <w:rPr>
          <w:lang w:val="en-GB"/>
        </w:rPr>
        <w:t xml:space="preserve"> to fulfil its primary responsibility-- issuing opinions. He can </w:t>
      </w:r>
      <w:r w:rsidR="006D1595" w:rsidRPr="006D1595">
        <w:rPr>
          <w:lang w:val="en-GB"/>
        </w:rPr>
        <w:t>investigate</w:t>
      </w:r>
      <w:r w:rsidR="006D1595">
        <w:rPr>
          <w:lang w:val="en-GB"/>
        </w:rPr>
        <w:t xml:space="preserve"> the actions taken by Microsoft and have </w:t>
      </w:r>
      <w:r w:rsidR="006D1595" w:rsidRPr="006D1595">
        <w:rPr>
          <w:lang w:val="en-GB"/>
        </w:rPr>
        <w:t xml:space="preserve">full access to the source code of </w:t>
      </w:r>
      <w:r w:rsidR="006D1595">
        <w:rPr>
          <w:lang w:val="en-GB"/>
        </w:rPr>
        <w:t>the relevant Microsoft products</w:t>
      </w:r>
      <w:r w:rsidR="001A26AB" w:rsidRPr="001A26AB">
        <w:rPr>
          <w:lang w:val="en-GB"/>
        </w:rPr>
        <w:t>.</w:t>
      </w:r>
      <w:r w:rsidR="006D1595">
        <w:rPr>
          <w:rStyle w:val="FootnoteReference"/>
          <w:lang w:val="en-GB"/>
        </w:rPr>
        <w:footnoteReference w:id="86"/>
      </w:r>
      <w:r w:rsidR="001A26AB">
        <w:rPr>
          <w:lang w:val="en-GB" w:bidi="ar-SA"/>
        </w:rPr>
        <w:t xml:space="preserve"> </w:t>
      </w:r>
      <w:r w:rsidR="00D43E50">
        <w:rPr>
          <w:lang w:val="en-GB" w:bidi="ar-SA"/>
        </w:rPr>
        <w:t>In</w:t>
      </w:r>
      <w:r w:rsidR="006D1595">
        <w:rPr>
          <w:lang w:val="en-GB" w:bidi="ar-SA"/>
        </w:rPr>
        <w:t xml:space="preserve"> addition, the cost of </w:t>
      </w:r>
      <w:r w:rsidR="006D1595" w:rsidRPr="006D1595">
        <w:rPr>
          <w:lang w:val="en-GB"/>
        </w:rPr>
        <w:t>establishment of the monitoring trustee</w:t>
      </w:r>
      <w:r w:rsidR="00D43E50">
        <w:rPr>
          <w:lang w:val="en-GB"/>
        </w:rPr>
        <w:t xml:space="preserve"> w</w:t>
      </w:r>
      <w:r w:rsidR="00497FB2">
        <w:rPr>
          <w:lang w:val="en-GB"/>
        </w:rPr>
        <w:t>as</w:t>
      </w:r>
      <w:r w:rsidR="00D43E50">
        <w:rPr>
          <w:lang w:val="en-GB"/>
        </w:rPr>
        <w:t xml:space="preserve"> provided to be </w:t>
      </w:r>
      <w:r w:rsidR="006D1595" w:rsidRPr="006D1595">
        <w:rPr>
          <w:lang w:val="en-GB"/>
        </w:rPr>
        <w:t>borne by Microsoft.</w:t>
      </w:r>
      <w:r w:rsidR="003F68FC">
        <w:rPr>
          <w:rStyle w:val="FootnoteReference"/>
          <w:lang w:val="en-GB"/>
        </w:rPr>
        <w:footnoteReference w:id="87"/>
      </w:r>
      <w:r w:rsidR="00497FB2">
        <w:rPr>
          <w:lang w:val="en-GB"/>
        </w:rPr>
        <w:t xml:space="preserve"> This requirement for monitoring trustee was partially annulled by the CFI decision on the grounds that </w:t>
      </w:r>
      <w:r w:rsidR="00497FB2" w:rsidRPr="00497FB2">
        <w:rPr>
          <w:rFonts w:cs="Times New Roman"/>
          <w:szCs w:val="24"/>
          <w:lang w:val="en-GB"/>
        </w:rPr>
        <w:t>the Commission went far</w:t>
      </w:r>
      <w:r w:rsidR="00497FB2">
        <w:rPr>
          <w:rFonts w:cs="Times New Roman"/>
          <w:szCs w:val="24"/>
          <w:lang w:val="en-GB"/>
        </w:rPr>
        <w:t xml:space="preserve"> </w:t>
      </w:r>
      <w:r w:rsidR="00497FB2" w:rsidRPr="00497FB2">
        <w:rPr>
          <w:rFonts w:cs="Times New Roman"/>
          <w:szCs w:val="24"/>
          <w:lang w:val="en-GB"/>
        </w:rPr>
        <w:t>beyond the situation in which it retains its own external expert to provide advice when</w:t>
      </w:r>
      <w:r w:rsidR="00497FB2">
        <w:rPr>
          <w:rFonts w:cs="Times New Roman"/>
          <w:szCs w:val="24"/>
          <w:lang w:val="en-GB"/>
        </w:rPr>
        <w:t xml:space="preserve"> </w:t>
      </w:r>
      <w:r w:rsidR="00497FB2" w:rsidRPr="00497FB2">
        <w:rPr>
          <w:rFonts w:cs="Times New Roman"/>
          <w:szCs w:val="24"/>
          <w:lang w:val="en-GB"/>
        </w:rPr>
        <w:t>it investigates the implementation of the remedies</w:t>
      </w:r>
      <w:r w:rsidR="007B5524">
        <w:rPr>
          <w:rFonts w:cs="Times New Roman"/>
          <w:szCs w:val="24"/>
          <w:lang w:val="en-GB"/>
        </w:rPr>
        <w:t xml:space="preserve"> and there was no legal basis in Regulation No 17 authorising the Commission </w:t>
      </w:r>
      <w:r w:rsidR="007B5524" w:rsidRPr="007B5524">
        <w:rPr>
          <w:lang w:val="en-GB"/>
        </w:rPr>
        <w:t>to grant to an independent monitoring trustee powers which the Commission is not itself author</w:t>
      </w:r>
      <w:r w:rsidR="007B5524">
        <w:rPr>
          <w:lang w:val="en-GB"/>
        </w:rPr>
        <w:t>ised to confer on a third party</w:t>
      </w:r>
      <w:r w:rsidR="00497FB2">
        <w:rPr>
          <w:lang w:val="en-GB"/>
        </w:rPr>
        <w:t>.</w:t>
      </w:r>
      <w:r w:rsidR="003F68FC">
        <w:rPr>
          <w:rStyle w:val="FootnoteReference"/>
          <w:lang w:val="en-GB"/>
        </w:rPr>
        <w:footnoteReference w:id="88"/>
      </w:r>
      <w:r w:rsidR="00497FB2">
        <w:rPr>
          <w:lang w:val="en-GB"/>
        </w:rPr>
        <w:t xml:space="preserve"> </w:t>
      </w:r>
      <w:r w:rsidR="00CC500D">
        <w:rPr>
          <w:lang w:val="en-GB"/>
        </w:rPr>
        <w:t xml:space="preserve">The Commission decided </w:t>
      </w:r>
      <w:r w:rsidR="00CE4174">
        <w:rPr>
          <w:lang w:val="en-GB"/>
        </w:rPr>
        <w:t xml:space="preserve">on April </w:t>
      </w:r>
      <w:r w:rsidR="00CC500D" w:rsidRPr="00CC500D">
        <w:rPr>
          <w:lang w:val="en-GB"/>
        </w:rPr>
        <w:t>3</w:t>
      </w:r>
      <w:r w:rsidR="00CE4174">
        <w:rPr>
          <w:lang w:val="en-GB"/>
        </w:rPr>
        <w:t xml:space="preserve">, </w:t>
      </w:r>
      <w:r w:rsidR="00CC500D" w:rsidRPr="00CC500D">
        <w:rPr>
          <w:lang w:val="en-GB"/>
        </w:rPr>
        <w:t>2009</w:t>
      </w:r>
      <w:r w:rsidR="00CC500D">
        <w:rPr>
          <w:lang w:val="en-GB"/>
        </w:rPr>
        <w:t xml:space="preserve"> to withdraw its requirement for monitoring trustee </w:t>
      </w:r>
      <w:r w:rsidR="00200B48">
        <w:rPr>
          <w:lang w:val="en-GB"/>
        </w:rPr>
        <w:t>and refund Microsoft the costs pursuant</w:t>
      </w:r>
      <w:r w:rsidR="00CC500D">
        <w:rPr>
          <w:lang w:val="en-GB"/>
        </w:rPr>
        <w:t xml:space="preserve"> to the CFI’s judgement.</w:t>
      </w:r>
      <w:r w:rsidR="00CC500D">
        <w:rPr>
          <w:rStyle w:val="FootnoteReference"/>
          <w:lang w:val="en-GB"/>
        </w:rPr>
        <w:footnoteReference w:id="89"/>
      </w:r>
      <w:r w:rsidR="00CC500D">
        <w:rPr>
          <w:lang w:val="en-GB"/>
        </w:rPr>
        <w:t xml:space="preserve"> </w:t>
      </w:r>
      <w:r w:rsidR="008A3D52">
        <w:rPr>
          <w:lang w:val="en-GB"/>
        </w:rPr>
        <w:t xml:space="preserve">And the Commission would seek assistance of </w:t>
      </w:r>
      <w:r w:rsidR="008A3D52" w:rsidRPr="008A3D52">
        <w:rPr>
          <w:rFonts w:cs="Times New Roman"/>
          <w:szCs w:val="24"/>
          <w:lang w:val="en-GB"/>
        </w:rPr>
        <w:t xml:space="preserve">external technical experts </w:t>
      </w:r>
      <w:r w:rsidR="008A3D52">
        <w:rPr>
          <w:rFonts w:cs="Times New Roman"/>
          <w:szCs w:val="24"/>
          <w:lang w:val="en-GB"/>
        </w:rPr>
        <w:t>in monitoring Microsoft’</w:t>
      </w:r>
      <w:r w:rsidR="00F83FA4">
        <w:rPr>
          <w:rFonts w:cs="Times New Roman"/>
          <w:szCs w:val="24"/>
          <w:lang w:val="en-GB"/>
        </w:rPr>
        <w:t>s compliance with the</w:t>
      </w:r>
      <w:r w:rsidR="008A3D52">
        <w:rPr>
          <w:rFonts w:cs="Times New Roman"/>
          <w:szCs w:val="24"/>
          <w:lang w:val="en-GB"/>
        </w:rPr>
        <w:t xml:space="preserve"> remedies. </w:t>
      </w:r>
    </w:p>
    <w:p w:rsidR="006D1595" w:rsidRPr="008C55A6" w:rsidRDefault="00AA6310" w:rsidP="00497FB2">
      <w:pPr>
        <w:rPr>
          <w:lang w:val="en-GB"/>
        </w:rPr>
      </w:pPr>
      <w:r>
        <w:rPr>
          <w:rFonts w:eastAsia="SimSun" w:cs="Times New Roman"/>
          <w:szCs w:val="24"/>
          <w:lang w:val="en-GB"/>
        </w:rPr>
        <w:t>A</w:t>
      </w:r>
      <w:r>
        <w:rPr>
          <w:rFonts w:eastAsia="SimSun" w:cs="Times New Roman" w:hint="eastAsia"/>
          <w:szCs w:val="24"/>
          <w:lang w:val="en-GB"/>
        </w:rPr>
        <w:t xml:space="preserve">lthough it has been a </w:t>
      </w:r>
      <w:r>
        <w:rPr>
          <w:rFonts w:eastAsia="SimSun" w:cs="Times New Roman"/>
          <w:szCs w:val="24"/>
          <w:lang w:val="en-GB"/>
        </w:rPr>
        <w:t>common</w:t>
      </w:r>
      <w:r>
        <w:rPr>
          <w:rFonts w:eastAsia="SimSun" w:cs="Times New Roman" w:hint="eastAsia"/>
          <w:szCs w:val="24"/>
          <w:lang w:val="en-GB"/>
        </w:rPr>
        <w:t xml:space="preserve"> practice in EU to appoint a trustee to </w:t>
      </w:r>
      <w:r>
        <w:rPr>
          <w:rFonts w:eastAsia="SimSun" w:cs="Times New Roman"/>
          <w:szCs w:val="24"/>
          <w:lang w:val="en-GB"/>
        </w:rPr>
        <w:t>oversee</w:t>
      </w:r>
      <w:r>
        <w:rPr>
          <w:rFonts w:eastAsia="SimSun" w:cs="Times New Roman" w:hint="eastAsia"/>
          <w:szCs w:val="24"/>
          <w:lang w:val="en-GB"/>
        </w:rPr>
        <w:t xml:space="preserve"> </w:t>
      </w:r>
      <w:r>
        <w:rPr>
          <w:rFonts w:eastAsia="SimSun" w:cs="Times New Roman"/>
          <w:szCs w:val="24"/>
          <w:lang w:val="en-GB"/>
        </w:rPr>
        <w:t>the</w:t>
      </w:r>
      <w:r>
        <w:rPr>
          <w:rFonts w:eastAsia="SimSun" w:cs="Times New Roman" w:hint="eastAsia"/>
          <w:szCs w:val="24"/>
          <w:lang w:val="en-GB"/>
        </w:rPr>
        <w:t xml:space="preserve"> </w:t>
      </w:r>
      <w:r>
        <w:rPr>
          <w:rFonts w:eastAsia="SimSun" w:cs="Times New Roman"/>
          <w:szCs w:val="24"/>
          <w:lang w:val="en-GB"/>
        </w:rPr>
        <w:t>implementation</w:t>
      </w:r>
      <w:r>
        <w:rPr>
          <w:rFonts w:eastAsia="SimSun" w:cs="Times New Roman" w:hint="eastAsia"/>
          <w:szCs w:val="24"/>
          <w:lang w:val="en-GB"/>
        </w:rPr>
        <w:t xml:space="preserve"> of merger remedies, the Commission are still facing s</w:t>
      </w:r>
      <w:r w:rsidR="00F91843">
        <w:rPr>
          <w:rFonts w:cs="Times New Roman"/>
          <w:szCs w:val="24"/>
          <w:lang w:val="en-GB"/>
        </w:rPr>
        <w:t>ome</w:t>
      </w:r>
      <w:r w:rsidR="001961FF">
        <w:rPr>
          <w:rFonts w:cs="Times New Roman"/>
          <w:szCs w:val="24"/>
          <w:lang w:val="en-GB"/>
        </w:rPr>
        <w:t xml:space="preserve"> practical issues</w:t>
      </w:r>
      <w:r w:rsidR="00F91843">
        <w:rPr>
          <w:rFonts w:cs="Times New Roman"/>
          <w:szCs w:val="24"/>
          <w:lang w:val="en-GB"/>
        </w:rPr>
        <w:t>, e.g.</w:t>
      </w:r>
      <w:r w:rsidR="001961FF">
        <w:rPr>
          <w:rFonts w:cs="Times New Roman"/>
          <w:szCs w:val="24"/>
          <w:lang w:val="en-GB"/>
        </w:rPr>
        <w:t xml:space="preserve"> </w:t>
      </w:r>
      <w:r w:rsidR="00BB4956">
        <w:rPr>
          <w:rFonts w:eastAsia="SimSun" w:cs="Times New Roman" w:hint="eastAsia"/>
          <w:szCs w:val="24"/>
          <w:lang w:val="en-GB"/>
        </w:rPr>
        <w:t>the scale and scope of</w:t>
      </w:r>
      <w:r w:rsidR="00BB4956">
        <w:rPr>
          <w:rFonts w:cs="Times New Roman"/>
          <w:szCs w:val="24"/>
          <w:lang w:val="en-GB"/>
        </w:rPr>
        <w:t xml:space="preserve"> a monitoring trustee</w:t>
      </w:r>
      <w:r w:rsidR="00BB4956">
        <w:rPr>
          <w:rFonts w:eastAsia="SimSun" w:cs="Times New Roman"/>
          <w:szCs w:val="24"/>
          <w:lang w:val="en-GB"/>
        </w:rPr>
        <w:t>’</w:t>
      </w:r>
      <w:r w:rsidR="00BB4956">
        <w:rPr>
          <w:rFonts w:eastAsia="SimSun" w:cs="Times New Roman" w:hint="eastAsia"/>
          <w:szCs w:val="24"/>
          <w:lang w:val="en-GB"/>
        </w:rPr>
        <w:t xml:space="preserve">s work </w:t>
      </w:r>
      <w:r w:rsidR="001961FF">
        <w:rPr>
          <w:rFonts w:cs="Times New Roman"/>
          <w:szCs w:val="24"/>
          <w:lang w:val="en-GB"/>
        </w:rPr>
        <w:t xml:space="preserve">and the considerable monitoring costs. </w:t>
      </w:r>
      <w:r w:rsidR="0001373A">
        <w:rPr>
          <w:rFonts w:eastAsia="SimSun" w:cs="Times New Roman" w:hint="eastAsia"/>
          <w:szCs w:val="24"/>
          <w:lang w:val="en-GB"/>
        </w:rPr>
        <w:t>I</w:t>
      </w:r>
      <w:r w:rsidR="003D7467">
        <w:rPr>
          <w:rFonts w:cs="Times New Roman"/>
          <w:szCs w:val="24"/>
          <w:lang w:val="en-GB"/>
        </w:rPr>
        <w:t xml:space="preserve">f a licensor is exposed to a </w:t>
      </w:r>
      <w:r w:rsidR="00F91843">
        <w:rPr>
          <w:rFonts w:cs="Times New Roman"/>
          <w:szCs w:val="24"/>
          <w:lang w:val="en-GB"/>
        </w:rPr>
        <w:t>close oversight or h</w:t>
      </w:r>
      <w:r w:rsidR="003D7467">
        <w:rPr>
          <w:rFonts w:cs="Times New Roman"/>
          <w:szCs w:val="24"/>
          <w:lang w:val="en-GB"/>
        </w:rPr>
        <w:t xml:space="preserve">igh monitoring costs, </w:t>
      </w:r>
      <w:r w:rsidR="00F91843">
        <w:rPr>
          <w:rFonts w:cs="Times New Roman"/>
          <w:szCs w:val="24"/>
          <w:lang w:val="en-GB"/>
        </w:rPr>
        <w:t xml:space="preserve">his incentive to innovation </w:t>
      </w:r>
      <w:r w:rsidR="00BB4956">
        <w:rPr>
          <w:rFonts w:eastAsia="SimSun" w:cs="Times New Roman" w:hint="eastAsia"/>
          <w:szCs w:val="24"/>
          <w:lang w:val="en-GB"/>
        </w:rPr>
        <w:t>would</w:t>
      </w:r>
      <w:r w:rsidR="003D7467">
        <w:rPr>
          <w:rFonts w:cs="Times New Roman"/>
          <w:szCs w:val="24"/>
          <w:lang w:val="en-GB"/>
        </w:rPr>
        <w:t xml:space="preserve"> </w:t>
      </w:r>
      <w:r w:rsidR="00BB4956">
        <w:rPr>
          <w:rFonts w:eastAsia="SimSun" w:cs="Times New Roman"/>
          <w:szCs w:val="24"/>
          <w:lang w:val="en-GB"/>
        </w:rPr>
        <w:t>inevitably</w:t>
      </w:r>
      <w:r w:rsidR="00BB4956">
        <w:rPr>
          <w:rFonts w:cs="Times New Roman"/>
          <w:szCs w:val="24"/>
          <w:lang w:val="en-GB"/>
        </w:rPr>
        <w:t xml:space="preserve"> </w:t>
      </w:r>
      <w:r w:rsidR="003D7467">
        <w:rPr>
          <w:rFonts w:cs="Times New Roman"/>
          <w:szCs w:val="24"/>
          <w:lang w:val="en-GB"/>
        </w:rPr>
        <w:t xml:space="preserve">get hurt </w:t>
      </w:r>
      <w:r w:rsidR="00F91843">
        <w:rPr>
          <w:rFonts w:cs="Times New Roman"/>
          <w:szCs w:val="24"/>
          <w:lang w:val="en-GB"/>
        </w:rPr>
        <w:t xml:space="preserve">prone to the licensed technology. </w:t>
      </w:r>
      <w:r w:rsidR="00EA0FDF">
        <w:rPr>
          <w:rFonts w:eastAsia="SimSun" w:cs="Times New Roman" w:hint="eastAsia"/>
          <w:szCs w:val="24"/>
          <w:lang w:val="en-GB"/>
        </w:rPr>
        <w:t xml:space="preserve">Normally, such issues </w:t>
      </w:r>
      <w:r w:rsidR="00EA0FDF">
        <w:rPr>
          <w:rFonts w:eastAsia="SimSun" w:cs="Times New Roman" w:hint="eastAsia"/>
          <w:szCs w:val="24"/>
          <w:lang w:val="en-GB"/>
        </w:rPr>
        <w:lastRenderedPageBreak/>
        <w:t>were</w:t>
      </w:r>
      <w:r w:rsidR="009501D0">
        <w:rPr>
          <w:rFonts w:eastAsia="SimSun" w:cs="Times New Roman" w:hint="eastAsia"/>
          <w:szCs w:val="24"/>
          <w:lang w:val="en-GB"/>
        </w:rPr>
        <w:t xml:space="preserve"> open for negotiation and finally stipulated</w:t>
      </w:r>
      <w:r w:rsidR="00B12DDF">
        <w:rPr>
          <w:rFonts w:cs="Times New Roman" w:hint="eastAsia"/>
          <w:szCs w:val="24"/>
          <w:lang w:val="en-GB"/>
        </w:rPr>
        <w:t xml:space="preserve"> in </w:t>
      </w:r>
      <w:r w:rsidR="00EA0FDF">
        <w:rPr>
          <w:rFonts w:cs="Times New Roman" w:hint="eastAsia"/>
          <w:szCs w:val="24"/>
          <w:lang w:val="en-GB"/>
        </w:rPr>
        <w:t>commitment agreements</w:t>
      </w:r>
      <w:r w:rsidR="00EA0FDF">
        <w:rPr>
          <w:rFonts w:eastAsia="SimSun" w:cs="Times New Roman" w:hint="eastAsia"/>
          <w:szCs w:val="24"/>
          <w:lang w:val="en-GB"/>
        </w:rPr>
        <w:t xml:space="preserve"> </w:t>
      </w:r>
      <w:r w:rsidR="00B12DDF">
        <w:rPr>
          <w:rFonts w:eastAsia="SimSun" w:cs="Times New Roman" w:hint="eastAsia"/>
          <w:szCs w:val="24"/>
          <w:lang w:val="en-GB"/>
        </w:rPr>
        <w:t xml:space="preserve">between </w:t>
      </w:r>
      <w:r w:rsidR="00B12DDF">
        <w:rPr>
          <w:rFonts w:eastAsia="SimSun" w:cs="Times New Roman"/>
          <w:szCs w:val="24"/>
          <w:lang w:val="en-GB"/>
        </w:rPr>
        <w:t>the</w:t>
      </w:r>
      <w:r w:rsidR="00B12DDF">
        <w:rPr>
          <w:rFonts w:eastAsia="SimSun" w:cs="Times New Roman" w:hint="eastAsia"/>
          <w:szCs w:val="24"/>
          <w:lang w:val="en-GB"/>
        </w:rPr>
        <w:t xml:space="preserve"> Commission and the parties </w:t>
      </w:r>
      <w:r w:rsidR="00EA0FDF">
        <w:rPr>
          <w:rFonts w:eastAsia="SimSun" w:cs="Times New Roman" w:hint="eastAsia"/>
          <w:szCs w:val="24"/>
          <w:lang w:val="en-GB"/>
        </w:rPr>
        <w:t>under merger control and Article 9 of Regulation 1/2003</w:t>
      </w:r>
      <w:r w:rsidR="00EA0FDF">
        <w:rPr>
          <w:rFonts w:cs="Times New Roman" w:hint="eastAsia"/>
          <w:szCs w:val="24"/>
          <w:lang w:val="en-GB"/>
        </w:rPr>
        <w:t xml:space="preserve">. </w:t>
      </w:r>
      <w:r w:rsidR="00B12DDF">
        <w:rPr>
          <w:rFonts w:eastAsia="SimSun" w:cs="Times New Roman"/>
          <w:szCs w:val="24"/>
          <w:lang w:val="en-GB"/>
        </w:rPr>
        <w:t>B</w:t>
      </w:r>
      <w:r w:rsidR="00B12DDF">
        <w:rPr>
          <w:rFonts w:eastAsia="SimSun" w:cs="Times New Roman" w:hint="eastAsia"/>
          <w:szCs w:val="24"/>
          <w:lang w:val="en-GB"/>
        </w:rPr>
        <w:t xml:space="preserve">ut </w:t>
      </w:r>
      <w:r w:rsidR="008A434C">
        <w:rPr>
          <w:rFonts w:cs="Times New Roman"/>
          <w:szCs w:val="24"/>
          <w:lang w:val="en-GB"/>
        </w:rPr>
        <w:t>under</w:t>
      </w:r>
      <w:r w:rsidR="008A434C">
        <w:rPr>
          <w:lang w:val="en-GB"/>
        </w:rPr>
        <w:t xml:space="preserve"> Article 7 of Regulation 1/2003</w:t>
      </w:r>
      <w:r w:rsidR="008A434C">
        <w:rPr>
          <w:rFonts w:hint="eastAsia"/>
          <w:lang w:val="en-GB"/>
        </w:rPr>
        <w:t>, a</w:t>
      </w:r>
      <w:r w:rsidR="008A6193">
        <w:rPr>
          <w:rFonts w:cs="Times New Roman" w:hint="eastAsia"/>
          <w:szCs w:val="24"/>
          <w:lang w:val="en-GB"/>
        </w:rPr>
        <w:t>s indicated in</w:t>
      </w:r>
      <w:r w:rsidR="008A6193">
        <w:rPr>
          <w:rFonts w:cs="Times New Roman"/>
          <w:szCs w:val="24"/>
          <w:lang w:val="en-GB"/>
        </w:rPr>
        <w:t xml:space="preserve"> CFI </w:t>
      </w:r>
      <w:r w:rsidR="008A6193" w:rsidRPr="00C32A43">
        <w:rPr>
          <w:rFonts w:cs="Times New Roman"/>
          <w:i/>
          <w:szCs w:val="24"/>
          <w:lang w:val="en-GB"/>
        </w:rPr>
        <w:t>Microsoft</w:t>
      </w:r>
      <w:r w:rsidR="008A6193">
        <w:rPr>
          <w:rFonts w:cs="Times New Roman"/>
          <w:szCs w:val="24"/>
          <w:lang w:val="en-GB"/>
        </w:rPr>
        <w:t xml:space="preserve"> decision, </w:t>
      </w:r>
      <w:r w:rsidR="008A6193">
        <w:rPr>
          <w:rFonts w:hint="eastAsia"/>
          <w:lang w:val="en-GB"/>
        </w:rPr>
        <w:t>t</w:t>
      </w:r>
      <w:r w:rsidR="00C32A43">
        <w:rPr>
          <w:rFonts w:cs="Times New Roman"/>
          <w:szCs w:val="24"/>
          <w:lang w:val="en-GB"/>
        </w:rPr>
        <w:t xml:space="preserve">he </w:t>
      </w:r>
      <w:r w:rsidR="008A6193">
        <w:rPr>
          <w:rFonts w:cs="Times New Roman" w:hint="eastAsia"/>
          <w:szCs w:val="24"/>
          <w:lang w:val="en-GB"/>
        </w:rPr>
        <w:t>Commission</w:t>
      </w:r>
      <w:r w:rsidR="008A6193">
        <w:rPr>
          <w:rFonts w:cs="Times New Roman"/>
          <w:szCs w:val="24"/>
          <w:lang w:val="en-GB"/>
        </w:rPr>
        <w:t>’</w:t>
      </w:r>
      <w:r w:rsidR="008A6193">
        <w:rPr>
          <w:rFonts w:cs="Times New Roman" w:hint="eastAsia"/>
          <w:szCs w:val="24"/>
          <w:lang w:val="en-GB"/>
        </w:rPr>
        <w:t xml:space="preserve">s power to </w:t>
      </w:r>
      <w:r w:rsidR="008A6193">
        <w:rPr>
          <w:rFonts w:cs="Times New Roman"/>
          <w:szCs w:val="24"/>
          <w:lang w:val="en-GB"/>
        </w:rPr>
        <w:t>appoint</w:t>
      </w:r>
      <w:r w:rsidR="008A6193">
        <w:rPr>
          <w:rFonts w:cs="Times New Roman" w:hint="eastAsia"/>
          <w:szCs w:val="24"/>
          <w:lang w:val="en-GB"/>
        </w:rPr>
        <w:t xml:space="preserve"> </w:t>
      </w:r>
      <w:r w:rsidR="00C32A43">
        <w:rPr>
          <w:lang w:val="en-GB"/>
        </w:rPr>
        <w:t>a</w:t>
      </w:r>
      <w:r w:rsidR="00C32A43" w:rsidRPr="00B05928">
        <w:rPr>
          <w:lang w:val="en-GB"/>
        </w:rPr>
        <w:t xml:space="preserve"> monitoring trustee</w:t>
      </w:r>
      <w:r w:rsidR="00C32A43">
        <w:rPr>
          <w:rFonts w:cs="Times New Roman"/>
          <w:szCs w:val="24"/>
          <w:lang w:val="en-GB"/>
        </w:rPr>
        <w:t xml:space="preserve"> </w:t>
      </w:r>
      <w:r w:rsidR="008A6193">
        <w:rPr>
          <w:lang w:val="en-GB"/>
        </w:rPr>
        <w:t>for compulsory licensing</w:t>
      </w:r>
      <w:r w:rsidR="008A6193">
        <w:rPr>
          <w:rFonts w:cs="Times New Roman" w:hint="eastAsia"/>
          <w:szCs w:val="24"/>
          <w:lang w:val="en-GB"/>
        </w:rPr>
        <w:t xml:space="preserve"> should </w:t>
      </w:r>
      <w:r w:rsidR="008A6193">
        <w:rPr>
          <w:rFonts w:cs="Times New Roman"/>
          <w:szCs w:val="24"/>
          <w:lang w:val="en-GB"/>
        </w:rPr>
        <w:t>strictly</w:t>
      </w:r>
      <w:r w:rsidR="008A6193">
        <w:rPr>
          <w:rFonts w:cs="Times New Roman" w:hint="eastAsia"/>
          <w:szCs w:val="24"/>
          <w:lang w:val="en-GB"/>
        </w:rPr>
        <w:t xml:space="preserve"> follow the legal provisions and the costs of monitoring trustees is on the Commission</w:t>
      </w:r>
      <w:r w:rsidR="00B05928">
        <w:rPr>
          <w:lang w:val="en-GB"/>
        </w:rPr>
        <w:t xml:space="preserve">. </w:t>
      </w:r>
    </w:p>
    <w:p w:rsidR="007B2A87" w:rsidRPr="00844C55" w:rsidRDefault="00F12E93" w:rsidP="007B2A87">
      <w:pPr>
        <w:pStyle w:val="Heading3"/>
        <w:rPr>
          <w:lang w:val="en-GB"/>
        </w:rPr>
      </w:pPr>
      <w:r>
        <w:rPr>
          <w:lang w:val="en-GB"/>
        </w:rPr>
        <w:t>Ex Post Review</w:t>
      </w:r>
    </w:p>
    <w:p w:rsidR="007B2A87" w:rsidRDefault="00635D5F" w:rsidP="007B2A87">
      <w:pPr>
        <w:rPr>
          <w:lang w:val="en-GB" w:bidi="ar-SA"/>
        </w:rPr>
      </w:pPr>
      <w:r>
        <w:rPr>
          <w:rFonts w:eastAsia="SimSun"/>
          <w:lang w:val="en-GB" w:bidi="ar-SA"/>
        </w:rPr>
        <w:t xml:space="preserve">A </w:t>
      </w:r>
      <w:r w:rsidR="003757F8">
        <w:rPr>
          <w:rFonts w:eastAsia="SimSun"/>
          <w:lang w:val="en-GB" w:bidi="ar-SA"/>
        </w:rPr>
        <w:t xml:space="preserve">merger </w:t>
      </w:r>
      <w:r>
        <w:rPr>
          <w:rFonts w:eastAsia="SimSun"/>
          <w:lang w:val="en-GB" w:bidi="ar-SA"/>
        </w:rPr>
        <w:t>remedy can be waived, modified or substituted after being enforced for a number of years upon the Commission’s reviewing decision.</w:t>
      </w:r>
      <w:r>
        <w:rPr>
          <w:rStyle w:val="FootnoteReference"/>
          <w:rFonts w:eastAsia="SimSun"/>
          <w:lang w:val="en-GB" w:bidi="ar-SA"/>
        </w:rPr>
        <w:footnoteReference w:id="90"/>
      </w:r>
      <w:r>
        <w:rPr>
          <w:rFonts w:eastAsia="SimSun"/>
          <w:lang w:val="en-GB" w:bidi="ar-SA"/>
        </w:rPr>
        <w:t xml:space="preserve"> </w:t>
      </w:r>
      <w:r w:rsidR="003D541F">
        <w:rPr>
          <w:lang w:val="en-GB" w:bidi="ar-SA"/>
        </w:rPr>
        <w:t xml:space="preserve">The review is a mechanism for reconsidering a </w:t>
      </w:r>
      <w:r w:rsidR="001A14AE">
        <w:rPr>
          <w:lang w:val="en-GB" w:bidi="ar-SA"/>
        </w:rPr>
        <w:t xml:space="preserve">merger </w:t>
      </w:r>
      <w:r w:rsidR="003757F8">
        <w:rPr>
          <w:lang w:val="en-GB" w:bidi="ar-SA"/>
        </w:rPr>
        <w:t>remedy</w:t>
      </w:r>
      <w:r w:rsidR="003D541F">
        <w:rPr>
          <w:lang w:val="en-GB" w:bidi="ar-SA"/>
        </w:rPr>
        <w:t xml:space="preserve"> as market conditions change. </w:t>
      </w:r>
      <w:r w:rsidR="003757F8" w:rsidRPr="00844C55">
        <w:rPr>
          <w:rFonts w:eastAsia="SimSun"/>
          <w:lang w:val="en-GB" w:bidi="ar-SA"/>
        </w:rPr>
        <w:t>The EU Merger Remedy Study found that two out of fived analyzed compulsory licences of technology were unnecessary because the actual market developments turned out substantially different from what had been anticipated at the time the commitments were offered.</w:t>
      </w:r>
      <w:r w:rsidR="003757F8">
        <w:rPr>
          <w:rStyle w:val="FootnoteReference"/>
          <w:rFonts w:eastAsia="SimSun"/>
          <w:lang w:val="en-GB" w:bidi="ar-SA"/>
        </w:rPr>
        <w:footnoteReference w:id="91"/>
      </w:r>
      <w:r w:rsidR="003757F8">
        <w:rPr>
          <w:rFonts w:eastAsia="SimSun"/>
          <w:lang w:val="en-GB" w:bidi="ar-SA"/>
        </w:rPr>
        <w:t xml:space="preserve"> </w:t>
      </w:r>
      <w:r w:rsidR="00831CFC">
        <w:rPr>
          <w:rFonts w:eastAsia="SimSun"/>
          <w:lang w:val="en-GB" w:bidi="ar-SA"/>
        </w:rPr>
        <w:t>As the Commission cannot anticipate all contingencies at the time o</w:t>
      </w:r>
      <w:r w:rsidR="003757F8">
        <w:rPr>
          <w:rFonts w:eastAsia="SimSun"/>
          <w:lang w:val="en-GB" w:bidi="ar-SA"/>
        </w:rPr>
        <w:t xml:space="preserve">f designing a </w:t>
      </w:r>
      <w:r w:rsidR="001A14AE">
        <w:rPr>
          <w:rFonts w:eastAsia="SimSun"/>
          <w:lang w:val="en-GB" w:bidi="ar-SA"/>
        </w:rPr>
        <w:t>compulsory licence</w:t>
      </w:r>
      <w:r w:rsidR="00831CFC">
        <w:rPr>
          <w:rFonts w:eastAsia="SimSun"/>
          <w:lang w:val="en-GB" w:bidi="ar-SA"/>
        </w:rPr>
        <w:t xml:space="preserve">, a review allows </w:t>
      </w:r>
      <w:r w:rsidR="00F607E2">
        <w:rPr>
          <w:rFonts w:eastAsia="SimSun"/>
          <w:lang w:val="en-GB" w:bidi="ar-SA"/>
        </w:rPr>
        <w:t xml:space="preserve">it </w:t>
      </w:r>
      <w:r w:rsidR="002161DF">
        <w:rPr>
          <w:rFonts w:eastAsia="SimSun" w:hint="eastAsia"/>
          <w:lang w:val="en-GB" w:bidi="ar-SA"/>
        </w:rPr>
        <w:t>re-</w:t>
      </w:r>
      <w:r w:rsidR="00F607E2">
        <w:rPr>
          <w:rFonts w:eastAsia="SimSun"/>
          <w:lang w:val="en-GB" w:bidi="ar-SA"/>
        </w:rPr>
        <w:t>assess the e</w:t>
      </w:r>
      <w:r w:rsidR="000E0F63" w:rsidRPr="00844C55">
        <w:rPr>
          <w:rFonts w:eastAsia="SimSun"/>
          <w:lang w:val="en-GB" w:bidi="ar-SA"/>
        </w:rPr>
        <w:t>ffect</w:t>
      </w:r>
      <w:r w:rsidR="005F5325" w:rsidRPr="00844C55">
        <w:rPr>
          <w:rFonts w:eastAsia="SimSun"/>
          <w:lang w:val="en-GB" w:bidi="ar-SA"/>
        </w:rPr>
        <w:t xml:space="preserve">iveness of </w:t>
      </w:r>
      <w:r w:rsidR="00F607E2">
        <w:rPr>
          <w:rFonts w:eastAsia="SimSun"/>
          <w:lang w:val="en-GB" w:bidi="ar-SA"/>
        </w:rPr>
        <w:t>the</w:t>
      </w:r>
      <w:r w:rsidR="005F5325" w:rsidRPr="00844C55">
        <w:rPr>
          <w:rFonts w:eastAsia="SimSun"/>
          <w:lang w:val="en-GB" w:bidi="ar-SA"/>
        </w:rPr>
        <w:t xml:space="preserve"> remedy </w:t>
      </w:r>
      <w:r w:rsidR="000E0F63" w:rsidRPr="00844C55">
        <w:rPr>
          <w:rFonts w:eastAsia="SimSun"/>
          <w:lang w:val="en-GB" w:bidi="ar-SA"/>
        </w:rPr>
        <w:t xml:space="preserve">and make adjustment according to the market development. </w:t>
      </w:r>
      <w:r w:rsidR="00682399">
        <w:rPr>
          <w:rFonts w:eastAsia="SimSun"/>
          <w:lang w:val="en-GB" w:bidi="ar-SA"/>
        </w:rPr>
        <w:t xml:space="preserve">A review is triggered by the request by the parties concerned. </w:t>
      </w:r>
      <w:r w:rsidR="000E0F63" w:rsidRPr="00844C55">
        <w:rPr>
          <w:rFonts w:eastAsia="SimSun"/>
          <w:lang w:val="en-GB" w:bidi="ar-SA"/>
        </w:rPr>
        <w:t xml:space="preserve">There should be </w:t>
      </w:r>
      <w:r w:rsidR="000E0F63" w:rsidRPr="00844C55">
        <w:rPr>
          <w:lang w:val="en-GB" w:bidi="ar-SA"/>
        </w:rPr>
        <w:t>a sufficient long time–span, usually several years,</w:t>
      </w:r>
      <w:r w:rsidR="000E0F63" w:rsidRPr="00844C55">
        <w:rPr>
          <w:rFonts w:eastAsia="SimSun"/>
          <w:lang w:val="en-GB" w:bidi="ar-SA"/>
        </w:rPr>
        <w:t xml:space="preserve"> </w:t>
      </w:r>
      <w:r w:rsidR="000E0F63" w:rsidRPr="00844C55">
        <w:rPr>
          <w:lang w:val="en-GB" w:bidi="ar-SA"/>
        </w:rPr>
        <w:t xml:space="preserve">between the </w:t>
      </w:r>
      <w:r w:rsidR="000E0F63" w:rsidRPr="00844C55">
        <w:rPr>
          <w:rFonts w:eastAsia="SimSun"/>
          <w:lang w:val="en-GB" w:bidi="ar-SA"/>
        </w:rPr>
        <w:t>merger</w:t>
      </w:r>
      <w:r w:rsidR="000E0F63" w:rsidRPr="00844C55">
        <w:rPr>
          <w:lang w:val="en-GB" w:bidi="ar-SA"/>
        </w:rPr>
        <w:t xml:space="preserve"> decision and a request </w:t>
      </w:r>
      <w:r w:rsidR="000E0F63" w:rsidRPr="00844C55">
        <w:rPr>
          <w:rFonts w:eastAsia="SimSun"/>
          <w:lang w:val="en-GB" w:bidi="ar-SA"/>
        </w:rPr>
        <w:t>of review, as a</w:t>
      </w:r>
      <w:r w:rsidR="000E0F63" w:rsidRPr="00844C55">
        <w:rPr>
          <w:lang w:val="en-GB" w:bidi="ar-SA"/>
        </w:rPr>
        <w:t xml:space="preserve"> waiver or modification </w:t>
      </w:r>
      <w:r w:rsidR="000E0F63" w:rsidRPr="00844C55">
        <w:rPr>
          <w:rFonts w:eastAsia="SimSun"/>
          <w:lang w:val="en-GB" w:bidi="ar-SA"/>
        </w:rPr>
        <w:t>should</w:t>
      </w:r>
      <w:r w:rsidR="000E0F63" w:rsidRPr="00844C55">
        <w:rPr>
          <w:lang w:val="en-GB" w:bidi="ar-SA"/>
        </w:rPr>
        <w:t xml:space="preserve"> </w:t>
      </w:r>
      <w:r w:rsidR="000E0F63" w:rsidRPr="00844C55">
        <w:rPr>
          <w:rFonts w:eastAsia="SimSun"/>
          <w:lang w:val="en-GB" w:bidi="ar-SA"/>
        </w:rPr>
        <w:t xml:space="preserve">be </w:t>
      </w:r>
      <w:r w:rsidR="003832A3">
        <w:rPr>
          <w:rFonts w:eastAsia="SimSun" w:hint="eastAsia"/>
          <w:lang w:val="en-GB" w:bidi="ar-SA"/>
        </w:rPr>
        <w:t xml:space="preserve">based on </w:t>
      </w:r>
      <w:r w:rsidR="000E0F63" w:rsidRPr="00844C55">
        <w:rPr>
          <w:rFonts w:eastAsia="SimSun"/>
          <w:lang w:val="en-GB" w:bidi="ar-SA"/>
        </w:rPr>
        <w:t xml:space="preserve">the ground </w:t>
      </w:r>
      <w:r w:rsidR="000E0F63" w:rsidRPr="00844C55">
        <w:rPr>
          <w:lang w:val="en-GB" w:bidi="ar-SA"/>
        </w:rPr>
        <w:t>that the market circumstances have changed significantly and on a</w:t>
      </w:r>
      <w:r w:rsidR="000E0F63" w:rsidRPr="00844C55">
        <w:rPr>
          <w:rFonts w:eastAsia="SimSun"/>
          <w:lang w:val="en-GB" w:bidi="ar-SA"/>
        </w:rPr>
        <w:t xml:space="preserve"> </w:t>
      </w:r>
      <w:r w:rsidR="000E0F63" w:rsidRPr="00844C55">
        <w:rPr>
          <w:lang w:val="en-GB" w:bidi="ar-SA"/>
        </w:rPr>
        <w:t>permanent basis</w:t>
      </w:r>
      <w:r w:rsidR="000E0F63" w:rsidRPr="00844C55">
        <w:rPr>
          <w:rFonts w:eastAsia="SimSun"/>
          <w:lang w:val="en-GB" w:bidi="ar-SA"/>
        </w:rPr>
        <w:t>.</w:t>
      </w:r>
      <w:r w:rsidR="000E0F63" w:rsidRPr="00844C55">
        <w:rPr>
          <w:rStyle w:val="FootnoteReference"/>
          <w:lang w:val="en-GB" w:bidi="ar-SA"/>
        </w:rPr>
        <w:footnoteReference w:id="92"/>
      </w:r>
      <w:r w:rsidR="000E0F63" w:rsidRPr="00844C55">
        <w:rPr>
          <w:rFonts w:eastAsia="SimSun"/>
          <w:lang w:val="en-GB" w:bidi="ar-SA"/>
        </w:rPr>
        <w:t xml:space="preserve"> An explicit review clause is not a necessary condition to initiate a review. </w:t>
      </w:r>
      <w:r w:rsidR="003832A3">
        <w:rPr>
          <w:rFonts w:eastAsia="SimSun"/>
          <w:lang w:val="en-GB" w:bidi="ar-SA"/>
        </w:rPr>
        <w:t>In its waiv</w:t>
      </w:r>
      <w:r w:rsidR="003832A3">
        <w:rPr>
          <w:rFonts w:eastAsia="SimSun" w:hint="eastAsia"/>
          <w:lang w:val="en-GB" w:bidi="ar-SA"/>
        </w:rPr>
        <w:t>er</w:t>
      </w:r>
      <w:r w:rsidR="00B64371" w:rsidRPr="00844C55">
        <w:rPr>
          <w:rFonts w:eastAsia="SimSun"/>
          <w:lang w:val="en-GB" w:bidi="ar-SA"/>
        </w:rPr>
        <w:t xml:space="preserve"> decision in 2011regarding to </w:t>
      </w:r>
      <w:r w:rsidR="00B64371" w:rsidRPr="00844C55">
        <w:rPr>
          <w:i/>
          <w:lang w:val="en-GB" w:bidi="ar-SA"/>
        </w:rPr>
        <w:t>HOFFMANN - LA ROCHE / BOEHRINGER MANNHEIM</w:t>
      </w:r>
      <w:r w:rsidR="00B64371" w:rsidRPr="00844C55">
        <w:rPr>
          <w:rFonts w:eastAsia="SimSun"/>
          <w:lang w:val="en-GB" w:bidi="ar-SA"/>
        </w:rPr>
        <w:t>, t</w:t>
      </w:r>
      <w:r w:rsidR="00B64371" w:rsidRPr="00844C55">
        <w:rPr>
          <w:lang w:val="en-GB" w:bidi="ar-SA"/>
        </w:rPr>
        <w:t xml:space="preserve">he Commission </w:t>
      </w:r>
      <w:r w:rsidR="00B64371" w:rsidRPr="00844C55">
        <w:rPr>
          <w:rFonts w:eastAsia="SimSun"/>
          <w:lang w:val="en-GB" w:bidi="ar-SA"/>
        </w:rPr>
        <w:t>indicate</w:t>
      </w:r>
      <w:r w:rsidR="002F5BF3" w:rsidRPr="00844C55">
        <w:rPr>
          <w:rFonts w:eastAsia="SimSun"/>
          <w:lang w:val="en-GB" w:bidi="ar-SA"/>
        </w:rPr>
        <w:t>d</w:t>
      </w:r>
      <w:r w:rsidR="00B64371" w:rsidRPr="00844C55">
        <w:rPr>
          <w:rFonts w:eastAsia="SimSun"/>
          <w:lang w:val="en-GB" w:bidi="ar-SA"/>
        </w:rPr>
        <w:t xml:space="preserve"> that it </w:t>
      </w:r>
      <w:r w:rsidR="00B64371" w:rsidRPr="00844C55">
        <w:rPr>
          <w:lang w:val="en-GB" w:bidi="ar-SA"/>
        </w:rPr>
        <w:t xml:space="preserve">can revise its decisions in order to amend or waive </w:t>
      </w:r>
      <w:r w:rsidR="00B64371" w:rsidRPr="00844C55">
        <w:rPr>
          <w:rFonts w:eastAsia="SimSun"/>
          <w:lang w:val="en-GB" w:bidi="ar-SA"/>
        </w:rPr>
        <w:t xml:space="preserve">remedies </w:t>
      </w:r>
      <w:r w:rsidR="00B64371" w:rsidRPr="00844C55">
        <w:rPr>
          <w:lang w:val="en-GB" w:bidi="ar-SA"/>
        </w:rPr>
        <w:t>even in the absence of a review clause</w:t>
      </w:r>
      <w:r w:rsidR="001A14AE">
        <w:rPr>
          <w:lang w:val="en-GB" w:bidi="ar-SA"/>
        </w:rPr>
        <w:t xml:space="preserve"> in a merger decision</w:t>
      </w:r>
      <w:r w:rsidR="00B64371" w:rsidRPr="00844C55">
        <w:rPr>
          <w:lang w:val="en-GB" w:bidi="ar-SA"/>
        </w:rPr>
        <w:t>.</w:t>
      </w:r>
      <w:r w:rsidR="00B64371" w:rsidRPr="00844C55">
        <w:rPr>
          <w:rStyle w:val="FootnoteReference"/>
          <w:lang w:val="en-GB" w:bidi="ar-SA"/>
        </w:rPr>
        <w:footnoteReference w:id="93"/>
      </w:r>
      <w:r w:rsidR="00B64371" w:rsidRPr="00844C55">
        <w:rPr>
          <w:lang w:val="en-GB" w:bidi="ar-SA"/>
        </w:rPr>
        <w:t xml:space="preserve"> </w:t>
      </w:r>
    </w:p>
    <w:p w:rsidR="001A14AE" w:rsidRPr="008C69CA" w:rsidRDefault="002E169A" w:rsidP="008C69CA">
      <w:pPr>
        <w:rPr>
          <w:rFonts w:ascii="TimesNewRoman" w:hAnsi="TimesNewRoman" w:cs="TimesNewRoman"/>
          <w:szCs w:val="24"/>
          <w:lang w:val="en-GB"/>
        </w:rPr>
      </w:pPr>
      <w:r>
        <w:rPr>
          <w:lang w:val="en-GB" w:bidi="ar-SA"/>
        </w:rPr>
        <w:t>R</w:t>
      </w:r>
      <w:r w:rsidR="00FB4080">
        <w:rPr>
          <w:lang w:val="en-GB" w:bidi="ar-SA"/>
        </w:rPr>
        <w:t>eview</w:t>
      </w:r>
      <w:r>
        <w:rPr>
          <w:lang w:val="en-GB" w:bidi="ar-SA"/>
        </w:rPr>
        <w:t xml:space="preserve"> clauses are very rare </w:t>
      </w:r>
      <w:r w:rsidR="008C69CA">
        <w:rPr>
          <w:lang w:val="en-GB" w:bidi="ar-SA"/>
        </w:rPr>
        <w:t xml:space="preserve">for compulsory licensing </w:t>
      </w:r>
      <w:r>
        <w:rPr>
          <w:lang w:val="en-GB" w:bidi="ar-SA"/>
        </w:rPr>
        <w:t xml:space="preserve">in antitrust decisions. </w:t>
      </w:r>
      <w:r w:rsidR="008C69CA">
        <w:rPr>
          <w:lang w:val="en-GB" w:bidi="ar-SA"/>
        </w:rPr>
        <w:t xml:space="preserve">In </w:t>
      </w:r>
      <w:r w:rsidR="008C69CA" w:rsidRPr="008C69CA">
        <w:rPr>
          <w:i/>
          <w:iCs/>
          <w:lang w:val="en-GB" w:bidi="ar-SA"/>
        </w:rPr>
        <w:t>Microsoft</w:t>
      </w:r>
      <w:r w:rsidR="008C69CA">
        <w:rPr>
          <w:i/>
          <w:iCs/>
          <w:lang w:val="en-GB" w:bidi="ar-SA"/>
        </w:rPr>
        <w:t>,</w:t>
      </w:r>
      <w:r w:rsidR="008C69CA">
        <w:rPr>
          <w:lang w:val="en-GB" w:bidi="ar-SA"/>
        </w:rPr>
        <w:t xml:space="preserve"> the Commission retain itself a right to review and impose an alternative remedy in case that the unbundling remedy cannot effective </w:t>
      </w:r>
      <w:r w:rsidR="008C69CA">
        <w:rPr>
          <w:rFonts w:ascii="TimesNewRoman" w:hAnsi="TimesNewRoman" w:cs="TimesNewRoman"/>
          <w:szCs w:val="24"/>
          <w:lang w:val="en-GB"/>
        </w:rPr>
        <w:t xml:space="preserve">put an end to the problems </w:t>
      </w:r>
      <w:r w:rsidR="008C69CA" w:rsidRPr="008C69CA">
        <w:rPr>
          <w:rFonts w:ascii="TimesNewRoman" w:hAnsi="TimesNewRoman" w:cs="TimesNewRoman"/>
          <w:szCs w:val="24"/>
          <w:lang w:val="en-GB"/>
        </w:rPr>
        <w:t xml:space="preserve">of </w:t>
      </w:r>
      <w:r w:rsidR="008C69CA">
        <w:rPr>
          <w:rFonts w:ascii="TimesNewRoman" w:hAnsi="TimesNewRoman" w:cs="TimesNewRoman"/>
          <w:szCs w:val="24"/>
          <w:lang w:val="en-GB"/>
        </w:rPr>
        <w:t xml:space="preserve">tying </w:t>
      </w:r>
      <w:r w:rsidR="008C69CA" w:rsidRPr="008C69CA">
        <w:rPr>
          <w:rFonts w:ascii="TimesNewRoman" w:hAnsi="TimesNewRoman" w:cs="TimesNewRoman"/>
          <w:szCs w:val="24"/>
          <w:lang w:val="en-GB"/>
        </w:rPr>
        <w:t>Windows</w:t>
      </w:r>
      <w:r w:rsidR="008C69CA">
        <w:rPr>
          <w:rFonts w:ascii="TimesNewRoman" w:hAnsi="TimesNewRoman" w:cs="TimesNewRoman"/>
          <w:szCs w:val="24"/>
          <w:lang w:val="en-GB"/>
        </w:rPr>
        <w:t xml:space="preserve"> with</w:t>
      </w:r>
      <w:r w:rsidR="008C69CA" w:rsidRPr="008C69CA">
        <w:rPr>
          <w:rFonts w:ascii="TimesNewRoman" w:hAnsi="TimesNewRoman" w:cs="TimesNewRoman"/>
          <w:szCs w:val="24"/>
          <w:lang w:val="en-GB"/>
        </w:rPr>
        <w:t xml:space="preserve"> </w:t>
      </w:r>
      <w:r w:rsidR="008C69CA">
        <w:rPr>
          <w:rFonts w:ascii="TimesNewRoman" w:hAnsi="TimesNewRoman" w:cs="TimesNewRoman"/>
          <w:szCs w:val="24"/>
          <w:lang w:val="en-GB"/>
        </w:rPr>
        <w:t>Windows Media Player.</w:t>
      </w:r>
      <w:r w:rsidR="008C69CA">
        <w:rPr>
          <w:rStyle w:val="FootnoteReference"/>
          <w:rFonts w:ascii="TimesNewRoman" w:hAnsi="TimesNewRoman" w:cs="TimesNewRoman"/>
          <w:szCs w:val="24"/>
          <w:lang w:val="en-GB"/>
        </w:rPr>
        <w:footnoteReference w:id="94"/>
      </w:r>
      <w:r w:rsidR="00FB4080">
        <w:rPr>
          <w:rFonts w:ascii="TimesNewRoman" w:hAnsi="TimesNewRoman" w:cs="TimesNewRoman"/>
          <w:szCs w:val="24"/>
          <w:lang w:val="en-GB"/>
        </w:rPr>
        <w:t xml:space="preserve"> This review only covers the tying remedy, with no reference to the compulsory licensing.</w:t>
      </w:r>
      <w:r w:rsidR="00B05D6B">
        <w:rPr>
          <w:rFonts w:ascii="TimesNewRoman" w:hAnsi="TimesNewRoman" w:cs="TimesNewRoman"/>
          <w:szCs w:val="24"/>
          <w:lang w:val="en-GB"/>
        </w:rPr>
        <w:t xml:space="preserve"> </w:t>
      </w:r>
      <w:r w:rsidR="00954B05">
        <w:rPr>
          <w:rFonts w:ascii="TimesNewRoman" w:hAnsi="TimesNewRoman" w:cs="TimesNewRoman"/>
          <w:szCs w:val="24"/>
          <w:lang w:val="en-GB"/>
        </w:rPr>
        <w:t xml:space="preserve">In both merger and antitrust cases, a compulsory licence, with an on-gonging nature, may become ineffective because of poor designing or market development. </w:t>
      </w:r>
      <w:r w:rsidR="00B05D6B" w:rsidRPr="00B05D6B">
        <w:rPr>
          <w:rFonts w:ascii="TimesNewRoman" w:hAnsi="TimesNewRoman" w:cs="TimesNewRoman"/>
          <w:i/>
          <w:iCs/>
          <w:szCs w:val="24"/>
          <w:lang w:val="en-GB"/>
        </w:rPr>
        <w:lastRenderedPageBreak/>
        <w:t>Ex post</w:t>
      </w:r>
      <w:r w:rsidR="00B05D6B">
        <w:rPr>
          <w:rFonts w:ascii="TimesNewRoman" w:hAnsi="TimesNewRoman" w:cs="TimesNewRoman"/>
          <w:szCs w:val="24"/>
          <w:lang w:val="en-GB"/>
        </w:rPr>
        <w:t xml:space="preserve"> review can help to stop negative effects of </w:t>
      </w:r>
      <w:r w:rsidR="00954B05">
        <w:rPr>
          <w:rFonts w:ascii="TimesNewRoman" w:hAnsi="TimesNewRoman" w:cs="TimesNewRoman"/>
          <w:szCs w:val="24"/>
          <w:lang w:val="en-GB"/>
        </w:rPr>
        <w:t xml:space="preserve">such licences by </w:t>
      </w:r>
      <w:r w:rsidR="00B05D6B">
        <w:rPr>
          <w:rFonts w:ascii="TimesNewRoman" w:hAnsi="TimesNewRoman" w:cs="TimesNewRoman"/>
          <w:szCs w:val="24"/>
          <w:lang w:val="en-GB"/>
        </w:rPr>
        <w:t>provid</w:t>
      </w:r>
      <w:r w:rsidR="00954B05">
        <w:rPr>
          <w:rFonts w:ascii="TimesNewRoman" w:hAnsi="TimesNewRoman" w:cs="TimesNewRoman"/>
          <w:szCs w:val="24"/>
          <w:lang w:val="en-GB"/>
        </w:rPr>
        <w:t>ing</w:t>
      </w:r>
      <w:r w:rsidR="00B05D6B">
        <w:rPr>
          <w:rFonts w:ascii="TimesNewRoman" w:hAnsi="TimesNewRoman" w:cs="TimesNewRoman"/>
          <w:szCs w:val="24"/>
          <w:lang w:val="en-GB"/>
        </w:rPr>
        <w:t xml:space="preserve"> a chance for the parties concerned to </w:t>
      </w:r>
      <w:r w:rsidR="002161DF">
        <w:rPr>
          <w:rFonts w:ascii="TimesNewRoman" w:hAnsi="TimesNewRoman" w:cs="TimesNewRoman"/>
          <w:szCs w:val="24"/>
          <w:lang w:val="en-GB"/>
        </w:rPr>
        <w:t xml:space="preserve">request annulling or </w:t>
      </w:r>
      <w:r w:rsidR="002161DF">
        <w:rPr>
          <w:rFonts w:ascii="TimesNewRoman" w:eastAsia="SimSun" w:hAnsi="TimesNewRoman" w:cs="TimesNewRoman" w:hint="eastAsia"/>
          <w:szCs w:val="24"/>
          <w:lang w:val="en-GB"/>
        </w:rPr>
        <w:t>revis</w:t>
      </w:r>
      <w:r w:rsidR="00954B05">
        <w:rPr>
          <w:rFonts w:ascii="TimesNewRoman" w:hAnsi="TimesNewRoman" w:cs="TimesNewRoman"/>
          <w:szCs w:val="24"/>
          <w:lang w:val="en-GB"/>
        </w:rPr>
        <w:t>ing</w:t>
      </w:r>
      <w:r w:rsidR="00B05D6B">
        <w:rPr>
          <w:rFonts w:ascii="TimesNewRoman" w:hAnsi="TimesNewRoman" w:cs="TimesNewRoman"/>
          <w:szCs w:val="24"/>
          <w:lang w:val="en-GB"/>
        </w:rPr>
        <w:t xml:space="preserve"> </w:t>
      </w:r>
      <w:r w:rsidR="00954B05">
        <w:rPr>
          <w:rFonts w:ascii="TimesNewRoman" w:hAnsi="TimesNewRoman" w:cs="TimesNewRoman"/>
          <w:szCs w:val="24"/>
          <w:lang w:val="en-GB"/>
        </w:rPr>
        <w:t>the licences</w:t>
      </w:r>
      <w:r w:rsidR="00B05D6B">
        <w:rPr>
          <w:rFonts w:ascii="TimesNewRoman" w:hAnsi="TimesNewRoman" w:cs="TimesNewRoman"/>
          <w:szCs w:val="24"/>
          <w:lang w:val="en-GB"/>
        </w:rPr>
        <w:t xml:space="preserve"> if the remedy is not appropriate any more.</w:t>
      </w:r>
      <w:r w:rsidR="005D21A5">
        <w:rPr>
          <w:rFonts w:ascii="TimesNewRoman" w:hAnsi="TimesNewRoman" w:cs="TimesNewRoman"/>
          <w:szCs w:val="24"/>
          <w:lang w:val="en-GB"/>
        </w:rPr>
        <w:t xml:space="preserve"> Since </w:t>
      </w:r>
      <w:r w:rsidR="005D21A5" w:rsidRPr="005D21A5">
        <w:rPr>
          <w:rFonts w:ascii="TimesNewRoman" w:hAnsi="TimesNewRoman" w:cs="TimesNewRoman"/>
          <w:i/>
          <w:iCs/>
          <w:szCs w:val="24"/>
          <w:lang w:val="en-GB"/>
        </w:rPr>
        <w:t>ex post</w:t>
      </w:r>
      <w:r w:rsidR="005D21A5">
        <w:rPr>
          <w:rFonts w:ascii="TimesNewRoman" w:hAnsi="TimesNewRoman" w:cs="TimesNewRoman"/>
          <w:szCs w:val="24"/>
          <w:lang w:val="en-GB"/>
        </w:rPr>
        <w:t xml:space="preserve"> review</w:t>
      </w:r>
      <w:r w:rsidR="00B05D6B">
        <w:rPr>
          <w:rFonts w:ascii="TimesNewRoman" w:hAnsi="TimesNewRoman" w:cs="TimesNewRoman"/>
          <w:szCs w:val="24"/>
          <w:lang w:val="en-GB"/>
        </w:rPr>
        <w:t xml:space="preserve"> has been </w:t>
      </w:r>
      <w:r w:rsidR="006C1A91">
        <w:rPr>
          <w:rFonts w:ascii="TimesNewRoman" w:hAnsi="TimesNewRoman" w:cs="TimesNewRoman"/>
          <w:szCs w:val="24"/>
          <w:lang w:val="en-GB"/>
        </w:rPr>
        <w:t>established</w:t>
      </w:r>
      <w:r w:rsidR="00B05D6B">
        <w:rPr>
          <w:rFonts w:ascii="TimesNewRoman" w:hAnsi="TimesNewRoman" w:cs="TimesNewRoman"/>
          <w:szCs w:val="24"/>
          <w:lang w:val="en-GB"/>
        </w:rPr>
        <w:t xml:space="preserve"> </w:t>
      </w:r>
      <w:r w:rsidR="002161DF">
        <w:rPr>
          <w:rFonts w:ascii="TimesNewRoman" w:eastAsia="SimSun" w:hAnsi="TimesNewRoman" w:cs="TimesNewRoman" w:hint="eastAsia"/>
          <w:szCs w:val="24"/>
          <w:lang w:val="en-GB"/>
        </w:rPr>
        <w:t xml:space="preserve">as </w:t>
      </w:r>
      <w:r w:rsidR="00B05D6B">
        <w:rPr>
          <w:rFonts w:ascii="TimesNewRoman" w:hAnsi="TimesNewRoman" w:cs="TimesNewRoman"/>
          <w:szCs w:val="24"/>
          <w:lang w:val="en-GB"/>
        </w:rPr>
        <w:t xml:space="preserve">an effective mechanism </w:t>
      </w:r>
      <w:r w:rsidR="005D21A5">
        <w:rPr>
          <w:rFonts w:ascii="TimesNewRoman" w:hAnsi="TimesNewRoman" w:cs="TimesNewRoman"/>
          <w:szCs w:val="24"/>
          <w:lang w:val="en-GB"/>
        </w:rPr>
        <w:t>in merger control, it should be able to do the same good job in antitrust cases</w:t>
      </w:r>
      <w:r w:rsidR="001E6145">
        <w:rPr>
          <w:rFonts w:ascii="TimesNewRoman" w:hAnsi="TimesNewRoman" w:cs="TimesNewRoman"/>
          <w:szCs w:val="24"/>
          <w:lang w:val="en-GB"/>
        </w:rPr>
        <w:t xml:space="preserve"> with proper design</w:t>
      </w:r>
      <w:r w:rsidR="005D21A5">
        <w:rPr>
          <w:rFonts w:ascii="TimesNewRoman" w:hAnsi="TimesNewRoman" w:cs="TimesNewRoman"/>
          <w:szCs w:val="24"/>
          <w:lang w:val="en-GB"/>
        </w:rPr>
        <w:t>.</w:t>
      </w:r>
      <w:r w:rsidR="00B05D6B">
        <w:rPr>
          <w:rFonts w:ascii="TimesNewRoman" w:hAnsi="TimesNewRoman" w:cs="TimesNewRoman"/>
          <w:szCs w:val="24"/>
          <w:lang w:val="en-GB"/>
        </w:rPr>
        <w:t xml:space="preserve"> </w:t>
      </w:r>
      <w:r w:rsidR="00FB4080">
        <w:rPr>
          <w:rFonts w:ascii="TimesNewRoman" w:hAnsi="TimesNewRoman" w:cs="TimesNewRoman"/>
          <w:szCs w:val="24"/>
          <w:lang w:val="en-GB"/>
        </w:rPr>
        <w:t xml:space="preserve"> </w:t>
      </w:r>
    </w:p>
    <w:p w:rsidR="00844217" w:rsidRPr="00844C55" w:rsidRDefault="00B65E78" w:rsidP="00844217">
      <w:pPr>
        <w:pStyle w:val="Heading3"/>
        <w:rPr>
          <w:rFonts w:eastAsia="SimSun"/>
          <w:shd w:val="clear" w:color="auto" w:fill="FFFFFF"/>
          <w:lang w:val="en-GB"/>
        </w:rPr>
      </w:pPr>
      <w:r>
        <w:rPr>
          <w:rFonts w:eastAsia="SimSun"/>
          <w:shd w:val="clear" w:color="auto" w:fill="FFFFFF"/>
          <w:lang w:val="en-GB"/>
        </w:rPr>
        <w:t>Arbitration</w:t>
      </w:r>
    </w:p>
    <w:p w:rsidR="005C1240" w:rsidRPr="0026000D" w:rsidRDefault="007111B9" w:rsidP="005C1240">
      <w:pPr>
        <w:rPr>
          <w:rFonts w:eastAsia="EUAlbertina"/>
          <w:lang w:val="en-GB" w:bidi="ar-SA"/>
        </w:rPr>
      </w:pPr>
      <w:r w:rsidRPr="00C0407D">
        <w:rPr>
          <w:lang w:val="en-GB"/>
        </w:rPr>
        <w:t xml:space="preserve">Designing and enforcing </w:t>
      </w:r>
      <w:r w:rsidR="00957F0B">
        <w:rPr>
          <w:lang w:val="en-GB"/>
        </w:rPr>
        <w:t>compulsory</w:t>
      </w:r>
      <w:r w:rsidRPr="00C0407D">
        <w:rPr>
          <w:lang w:val="en-GB"/>
        </w:rPr>
        <w:t xml:space="preserve"> licenses is complex and can </w:t>
      </w:r>
      <w:r w:rsidR="00131F50">
        <w:rPr>
          <w:lang w:val="en-GB"/>
        </w:rPr>
        <w:t>lead to</w:t>
      </w:r>
      <w:r w:rsidRPr="00C0407D">
        <w:rPr>
          <w:lang w:val="en-GB"/>
        </w:rPr>
        <w:t xml:space="preserve"> endless ancillary</w:t>
      </w:r>
      <w:r>
        <w:rPr>
          <w:lang w:val="en-GB"/>
        </w:rPr>
        <w:t xml:space="preserve"> </w:t>
      </w:r>
      <w:r w:rsidRPr="00C0407D">
        <w:rPr>
          <w:lang w:val="en-GB"/>
        </w:rPr>
        <w:t>compliance litigation.</w:t>
      </w:r>
      <w:r>
        <w:rPr>
          <w:rStyle w:val="FootnoteReference"/>
          <w:rFonts w:cs="Times New Roman"/>
          <w:szCs w:val="24"/>
          <w:lang w:val="en-GB"/>
        </w:rPr>
        <w:footnoteReference w:id="95"/>
      </w:r>
      <w:r w:rsidR="00957F0B">
        <w:rPr>
          <w:lang w:val="en-GB"/>
        </w:rPr>
        <w:t xml:space="preserve"> </w:t>
      </w:r>
      <w:r w:rsidR="0026000D">
        <w:rPr>
          <w:rFonts w:eastAsia="EUAlbertina"/>
          <w:lang w:val="en-GB" w:bidi="ar-SA"/>
        </w:rPr>
        <w:t>A</w:t>
      </w:r>
      <w:r w:rsidR="0026000D">
        <w:rPr>
          <w:rFonts w:eastAsia="EUAlbertina" w:hint="eastAsia"/>
          <w:lang w:val="en-GB" w:bidi="ar-SA"/>
        </w:rPr>
        <w:t>rbitration</w:t>
      </w:r>
      <w:r w:rsidR="002161DF">
        <w:rPr>
          <w:rFonts w:eastAsia="EUAlbertina" w:hint="eastAsia"/>
          <w:lang w:val="en-GB" w:bidi="ar-SA"/>
        </w:rPr>
        <w:t xml:space="preserve">, as a means of private enforcement, can be introduced to settle the disputes in relation </w:t>
      </w:r>
      <w:r w:rsidR="002161DF">
        <w:rPr>
          <w:rFonts w:eastAsia="EUAlbertina"/>
          <w:lang w:val="en-GB" w:bidi="ar-SA"/>
        </w:rPr>
        <w:t>to the</w:t>
      </w:r>
      <w:r w:rsidR="002161DF">
        <w:rPr>
          <w:rFonts w:eastAsia="EUAlbertina" w:hint="eastAsia"/>
          <w:lang w:val="en-GB" w:bidi="ar-SA"/>
        </w:rPr>
        <w:t xml:space="preserve"> </w:t>
      </w:r>
      <w:r w:rsidR="002161DF">
        <w:rPr>
          <w:rFonts w:eastAsia="EUAlbertina"/>
          <w:lang w:val="en-GB" w:bidi="ar-SA"/>
        </w:rPr>
        <w:t>compliance</w:t>
      </w:r>
      <w:r w:rsidR="002161DF">
        <w:rPr>
          <w:rFonts w:eastAsia="EUAlbertina" w:hint="eastAsia"/>
          <w:lang w:val="en-GB" w:bidi="ar-SA"/>
        </w:rPr>
        <w:t xml:space="preserve"> of competition remedies.</w:t>
      </w:r>
      <w:r w:rsidR="0026000D">
        <w:rPr>
          <w:rFonts w:eastAsia="EUAlbertina" w:hint="eastAsia"/>
          <w:lang w:val="en-GB" w:bidi="ar-SA"/>
        </w:rPr>
        <w:t xml:space="preserve"> </w:t>
      </w:r>
    </w:p>
    <w:p w:rsidR="005C1240" w:rsidRDefault="00892FAA" w:rsidP="00CE18D4">
      <w:pPr>
        <w:ind w:left="720"/>
        <w:rPr>
          <w:rFonts w:eastAsia="SimSun"/>
          <w:shd w:val="clear" w:color="auto" w:fill="FFFFFF"/>
          <w:lang w:val="en-GB"/>
        </w:rPr>
      </w:pPr>
      <w:r w:rsidRPr="00844C55">
        <w:rPr>
          <w:rFonts w:eastAsia="SimSun"/>
          <w:shd w:val="clear" w:color="auto" w:fill="FFFFFF"/>
          <w:lang w:val="en-GB"/>
        </w:rPr>
        <w:t>“</w:t>
      </w:r>
      <w:r w:rsidR="00087DE6" w:rsidRPr="00844C55">
        <w:rPr>
          <w:shd w:val="clear" w:color="auto" w:fill="FFFFFF"/>
          <w:lang w:val="en-GB"/>
        </w:rPr>
        <w:t>It</w:t>
      </w:r>
      <w:r w:rsidRPr="00844C55">
        <w:rPr>
          <w:shd w:val="clear" w:color="auto" w:fill="FFFFFF"/>
          <w:lang w:val="en-GB"/>
        </w:rPr>
        <w:t xml:space="preserve"> is sufficient to observe that all disputes concerning compliance with commitment must be subject to arbitration, which guarantees sufficient monitoring. Moreover, third parties who are not satisfied with the implementation of the commitment may make use of an arbitration procedure under which the burden of proof is placed on the </w:t>
      </w:r>
      <w:proofErr w:type="spellStart"/>
      <w:r w:rsidRPr="00844C55">
        <w:rPr>
          <w:shd w:val="clear" w:color="auto" w:fill="FFFFFF"/>
          <w:lang w:val="en-GB"/>
        </w:rPr>
        <w:t>Kirch</w:t>
      </w:r>
      <w:proofErr w:type="spellEnd"/>
      <w:r w:rsidRPr="00844C55">
        <w:rPr>
          <w:shd w:val="clear" w:color="auto" w:fill="FFFFFF"/>
          <w:lang w:val="en-GB"/>
        </w:rPr>
        <w:t xml:space="preserve"> group</w:t>
      </w:r>
      <w:r w:rsidR="00A96389">
        <w:rPr>
          <w:rFonts w:eastAsia="SimSun" w:hint="eastAsia"/>
          <w:shd w:val="clear" w:color="auto" w:fill="FFFFFF"/>
          <w:lang w:val="en-GB"/>
        </w:rPr>
        <w:t xml:space="preserve"> </w:t>
      </w:r>
      <w:r w:rsidR="00837594">
        <w:rPr>
          <w:rFonts w:eastAsia="SimSun"/>
          <w:i/>
          <w:shd w:val="clear" w:color="auto" w:fill="FFFFFF"/>
          <w:lang w:val="en-GB"/>
        </w:rPr>
        <w:t>[</w:t>
      </w:r>
      <w:r w:rsidR="00A96389">
        <w:rPr>
          <w:rFonts w:eastAsia="SimSun" w:hint="eastAsia"/>
          <w:i/>
          <w:shd w:val="clear" w:color="auto" w:fill="FFFFFF"/>
          <w:lang w:val="en-GB"/>
        </w:rPr>
        <w:t>the merging parties</w:t>
      </w:r>
      <w:r w:rsidR="00837594">
        <w:rPr>
          <w:rFonts w:eastAsia="SimSun"/>
          <w:i/>
          <w:shd w:val="clear" w:color="auto" w:fill="FFFFFF"/>
          <w:lang w:val="en-GB"/>
        </w:rPr>
        <w:t>]</w:t>
      </w:r>
      <w:r w:rsidRPr="00844C55">
        <w:rPr>
          <w:shd w:val="clear" w:color="auto" w:fill="FFFFFF"/>
          <w:lang w:val="en-GB"/>
        </w:rPr>
        <w:t>. Thus, although compliance with the commitment is subject to monitoring, it is not the Commission which is responsible for that monitoring.</w:t>
      </w:r>
      <w:r w:rsidRPr="00844C55">
        <w:rPr>
          <w:rFonts w:eastAsia="SimSun"/>
          <w:shd w:val="clear" w:color="auto" w:fill="FFFFFF"/>
          <w:lang w:val="en-GB"/>
        </w:rPr>
        <w:t>”</w:t>
      </w:r>
      <w:r w:rsidRPr="00844C55">
        <w:rPr>
          <w:rStyle w:val="FootnoteReference"/>
          <w:rFonts w:eastAsia="SimSun"/>
          <w:shd w:val="clear" w:color="auto" w:fill="FFFFFF"/>
          <w:lang w:val="en-GB"/>
        </w:rPr>
        <w:footnoteReference w:id="96"/>
      </w:r>
    </w:p>
    <w:p w:rsidR="0026000D" w:rsidRPr="00844C55" w:rsidRDefault="00EF2E36" w:rsidP="0026000D">
      <w:pPr>
        <w:rPr>
          <w:rFonts w:eastAsia="SimSun"/>
          <w:lang w:val="en-GB" w:bidi="ar-SA"/>
        </w:rPr>
      </w:pPr>
      <w:r>
        <w:rPr>
          <w:rFonts w:eastAsia="SimSun"/>
          <w:lang w:val="en-GB" w:bidi="ar-SA"/>
        </w:rPr>
        <w:t>I</w:t>
      </w:r>
      <w:r>
        <w:rPr>
          <w:rFonts w:eastAsia="SimSun" w:hint="eastAsia"/>
          <w:lang w:val="en-GB" w:bidi="ar-SA"/>
        </w:rPr>
        <w:t>n EU merger cases, a</w:t>
      </w:r>
      <w:r w:rsidR="00441B3F">
        <w:rPr>
          <w:rFonts w:eastAsia="SimSun" w:hint="eastAsia"/>
          <w:lang w:val="en-GB" w:bidi="ar-SA"/>
        </w:rPr>
        <w:t>rbitration</w:t>
      </w:r>
      <w:r w:rsidR="00441B3F">
        <w:rPr>
          <w:rFonts w:eastAsia="SimSun"/>
          <w:lang w:val="en-GB" w:bidi="ar-SA"/>
        </w:rPr>
        <w:t xml:space="preserve"> </w:t>
      </w:r>
      <w:r w:rsidR="00467DAE">
        <w:rPr>
          <w:rFonts w:eastAsia="SimSun"/>
          <w:lang w:val="en-GB" w:bidi="ar-SA"/>
        </w:rPr>
        <w:t xml:space="preserve">is confined to adjudicating the civil law consequences of </w:t>
      </w:r>
      <w:r w:rsidR="00467DAE">
        <w:rPr>
          <w:rFonts w:eastAsia="SimSun" w:hint="eastAsia"/>
          <w:lang w:val="en-GB" w:bidi="ar-SA"/>
        </w:rPr>
        <w:t>t</w:t>
      </w:r>
      <w:r w:rsidR="00467DAE" w:rsidRPr="00755464">
        <w:rPr>
          <w:rFonts w:eastAsia="SimSun"/>
          <w:lang w:val="en-GB" w:bidi="ar-SA"/>
        </w:rPr>
        <w:t>he incorrect or non-</w:t>
      </w:r>
      <w:r w:rsidR="00467DAE">
        <w:rPr>
          <w:rFonts w:eastAsia="SimSun"/>
          <w:lang w:val="en-GB" w:bidi="ar-SA"/>
        </w:rPr>
        <w:t>compliance</w:t>
      </w:r>
      <w:r w:rsidR="00467DAE" w:rsidRPr="00755464">
        <w:rPr>
          <w:rFonts w:eastAsia="SimSun"/>
          <w:lang w:val="en-GB" w:bidi="ar-SA"/>
        </w:rPr>
        <w:t xml:space="preserve"> of</w:t>
      </w:r>
      <w:r w:rsidR="00467DAE">
        <w:rPr>
          <w:rFonts w:eastAsia="SimSun" w:hint="eastAsia"/>
          <w:lang w:val="en-GB" w:bidi="ar-SA"/>
        </w:rPr>
        <w:t xml:space="preserve"> </w:t>
      </w:r>
      <w:r w:rsidR="00467DAE">
        <w:rPr>
          <w:rFonts w:eastAsia="SimSun"/>
          <w:lang w:val="en-GB" w:bidi="ar-SA"/>
        </w:rPr>
        <w:t xml:space="preserve">a </w:t>
      </w:r>
      <w:r w:rsidR="00B5092C">
        <w:rPr>
          <w:rFonts w:eastAsia="SimSun"/>
          <w:lang w:val="en-GB" w:bidi="ar-SA"/>
        </w:rPr>
        <w:t xml:space="preserve">merger </w:t>
      </w:r>
      <w:r w:rsidR="00467DAE">
        <w:rPr>
          <w:rFonts w:eastAsia="SimSun"/>
          <w:lang w:val="en-GB" w:bidi="ar-SA"/>
        </w:rPr>
        <w:t>remedy</w:t>
      </w:r>
      <w:r w:rsidR="00467DAE">
        <w:rPr>
          <w:rFonts w:eastAsia="SimSun" w:hint="eastAsia"/>
          <w:lang w:val="en-GB" w:bidi="ar-SA"/>
        </w:rPr>
        <w:t>.</w:t>
      </w:r>
      <w:r w:rsidR="00467DAE">
        <w:rPr>
          <w:rStyle w:val="FootnoteReference"/>
          <w:rFonts w:eastAsia="SimSun"/>
          <w:lang w:val="en-GB" w:bidi="ar-SA"/>
        </w:rPr>
        <w:footnoteReference w:id="97"/>
      </w:r>
      <w:r w:rsidR="00467DAE">
        <w:rPr>
          <w:rFonts w:eastAsia="SimSun"/>
          <w:lang w:val="en-GB" w:bidi="ar-SA"/>
        </w:rPr>
        <w:t xml:space="preserve"> </w:t>
      </w:r>
      <w:r>
        <w:rPr>
          <w:rFonts w:eastAsia="SimSun"/>
          <w:lang w:val="en-GB" w:bidi="ar-SA"/>
        </w:rPr>
        <w:t>Arbitration</w:t>
      </w:r>
      <w:r>
        <w:rPr>
          <w:rFonts w:eastAsia="SimSun" w:hint="eastAsia"/>
          <w:lang w:val="en-GB" w:bidi="ar-SA"/>
        </w:rPr>
        <w:t xml:space="preserve"> </w:t>
      </w:r>
      <w:r>
        <w:rPr>
          <w:rFonts w:eastAsia="EUAlbertina" w:hint="eastAsia"/>
          <w:lang w:val="en-GB" w:bidi="ar-SA"/>
        </w:rPr>
        <w:t xml:space="preserve">proceedings can involve with </w:t>
      </w:r>
      <w:r>
        <w:rPr>
          <w:rFonts w:eastAsia="EUAlbertina"/>
          <w:lang w:val="en-GB" w:bidi="ar-SA"/>
        </w:rPr>
        <w:t xml:space="preserve">monitoring </w:t>
      </w:r>
      <w:r>
        <w:rPr>
          <w:rFonts w:eastAsia="EUAlbertina" w:hint="eastAsia"/>
          <w:lang w:val="en-GB" w:bidi="ar-SA"/>
        </w:rPr>
        <w:t xml:space="preserve">trustees or national regulatory </w:t>
      </w:r>
      <w:r>
        <w:rPr>
          <w:rFonts w:eastAsia="EUAlbertina"/>
          <w:lang w:val="en-GB" w:bidi="ar-SA"/>
        </w:rPr>
        <w:t>authorities</w:t>
      </w:r>
      <w:r>
        <w:rPr>
          <w:rFonts w:eastAsia="EUAlbertina" w:hint="eastAsia"/>
          <w:lang w:val="en-GB" w:bidi="ar-SA"/>
        </w:rPr>
        <w:t xml:space="preserve"> </w:t>
      </w:r>
      <w:r>
        <w:rPr>
          <w:rFonts w:eastAsia="EUAlbertina"/>
          <w:lang w:val="en-GB" w:bidi="ar-SA"/>
        </w:rPr>
        <w:t>if necessary.</w:t>
      </w:r>
      <w:r>
        <w:rPr>
          <w:rStyle w:val="FootnoteReference"/>
          <w:rFonts w:eastAsia="EUAlbertina"/>
          <w:lang w:val="en-GB" w:bidi="ar-SA"/>
        </w:rPr>
        <w:footnoteReference w:id="98"/>
      </w:r>
      <w:r>
        <w:rPr>
          <w:rFonts w:eastAsia="EUAlbertina"/>
          <w:lang w:val="en-GB" w:bidi="ar-SA"/>
        </w:rPr>
        <w:t xml:space="preserve"> </w:t>
      </w:r>
      <w:r w:rsidR="008A2FCF">
        <w:rPr>
          <w:rFonts w:eastAsia="SimSun"/>
          <w:lang w:val="en-GB" w:bidi="ar-SA"/>
        </w:rPr>
        <w:t xml:space="preserve">With regard to compulsory licences, the arbitration tribunal may decide whether the design and enforcement of the licences are compliant with the </w:t>
      </w:r>
      <w:r w:rsidR="003832A3">
        <w:rPr>
          <w:rFonts w:eastAsia="SimSun" w:hint="eastAsia"/>
          <w:lang w:val="en-GB" w:bidi="ar-SA"/>
        </w:rPr>
        <w:t xml:space="preserve">compulsory licensing </w:t>
      </w:r>
      <w:r w:rsidR="008A2FCF">
        <w:rPr>
          <w:rFonts w:eastAsia="SimSun"/>
          <w:lang w:val="en-GB" w:bidi="ar-SA"/>
        </w:rPr>
        <w:t>remedy accepted by the Commission</w:t>
      </w:r>
      <w:r w:rsidR="00183F42">
        <w:rPr>
          <w:rFonts w:eastAsia="SimSun"/>
          <w:lang w:val="en-GB" w:bidi="ar-SA"/>
        </w:rPr>
        <w:t>, e.g. royalty and duration</w:t>
      </w:r>
      <w:r w:rsidR="008A2FCF">
        <w:rPr>
          <w:rFonts w:eastAsia="SimSun"/>
          <w:lang w:val="en-GB" w:bidi="ar-SA"/>
        </w:rPr>
        <w:t>.</w:t>
      </w:r>
      <w:r w:rsidR="00183F42">
        <w:rPr>
          <w:rFonts w:eastAsia="SimSun"/>
          <w:lang w:val="en-GB" w:bidi="ar-SA"/>
        </w:rPr>
        <w:t xml:space="preserve"> </w:t>
      </w:r>
      <w:r w:rsidR="0024157B">
        <w:rPr>
          <w:rFonts w:eastAsia="SimSun"/>
          <w:lang w:val="en-GB" w:bidi="ar-SA"/>
        </w:rPr>
        <w:t>B</w:t>
      </w:r>
      <w:r w:rsidR="0024157B">
        <w:rPr>
          <w:rFonts w:eastAsia="SimSun" w:hint="eastAsia"/>
          <w:lang w:val="en-GB" w:bidi="ar-SA"/>
        </w:rPr>
        <w:t xml:space="preserve">oth the Commission and US Department of Justice recommend </w:t>
      </w:r>
      <w:r w:rsidR="0024157B">
        <w:rPr>
          <w:rFonts w:eastAsia="SimSun"/>
          <w:lang w:val="en-GB" w:bidi="ar-SA"/>
        </w:rPr>
        <w:t>including</w:t>
      </w:r>
      <w:r w:rsidR="0024157B" w:rsidRPr="00844C55">
        <w:rPr>
          <w:rFonts w:eastAsia="SimSun"/>
          <w:lang w:val="en-GB" w:bidi="ar-SA"/>
        </w:rPr>
        <w:t xml:space="preserve"> </w:t>
      </w:r>
      <w:r w:rsidR="0024157B">
        <w:rPr>
          <w:rFonts w:eastAsia="SimSun"/>
          <w:lang w:val="en-GB" w:bidi="ar-SA"/>
        </w:rPr>
        <w:t>mandatory</w:t>
      </w:r>
      <w:r w:rsidR="0024157B">
        <w:rPr>
          <w:rFonts w:eastAsia="SimSun" w:hint="eastAsia"/>
          <w:lang w:val="en-GB" w:bidi="ar-SA"/>
        </w:rPr>
        <w:t xml:space="preserve"> arbitration as a </w:t>
      </w:r>
      <w:r w:rsidR="0024157B" w:rsidRPr="00844C55">
        <w:rPr>
          <w:rFonts w:eastAsia="SimSun"/>
          <w:lang w:val="en-GB" w:bidi="ar-SA"/>
        </w:rPr>
        <w:t>dispute resolution mechanism</w:t>
      </w:r>
      <w:r w:rsidR="0024157B">
        <w:rPr>
          <w:rFonts w:eastAsia="SimSun" w:hint="eastAsia"/>
          <w:lang w:val="en-GB" w:bidi="ar-SA"/>
        </w:rPr>
        <w:t xml:space="preserve"> </w:t>
      </w:r>
      <w:r w:rsidR="0024157B">
        <w:rPr>
          <w:rFonts w:eastAsia="SimSun"/>
          <w:lang w:val="en-GB" w:bidi="ar-SA"/>
        </w:rPr>
        <w:t>in compulsory licensing merger remedy, inasmuch as it</w:t>
      </w:r>
      <w:r w:rsidR="0024157B" w:rsidRPr="00844C55">
        <w:rPr>
          <w:rFonts w:eastAsia="SimSun"/>
          <w:lang w:val="en-GB" w:bidi="ar-SA"/>
        </w:rPr>
        <w:t xml:space="preserve"> </w:t>
      </w:r>
      <w:r w:rsidR="0024157B">
        <w:rPr>
          <w:rFonts w:eastAsia="SimSun"/>
          <w:lang w:val="en-GB" w:bidi="ar-SA"/>
        </w:rPr>
        <w:t>enables</w:t>
      </w:r>
      <w:r w:rsidR="0024157B" w:rsidRPr="00844C55">
        <w:rPr>
          <w:rFonts w:eastAsia="SimSun"/>
          <w:lang w:val="en-GB" w:bidi="ar-SA"/>
        </w:rPr>
        <w:t xml:space="preserve"> the parties to resort to an expert determination with a fast-track procedure</w:t>
      </w:r>
      <w:r w:rsidR="0024157B">
        <w:rPr>
          <w:rFonts w:eastAsia="SimSun"/>
          <w:lang w:val="en-GB" w:bidi="ar-SA"/>
        </w:rPr>
        <w:t xml:space="preserve"> in</w:t>
      </w:r>
      <w:r w:rsidR="0024157B" w:rsidRPr="00844C55">
        <w:rPr>
          <w:rFonts w:eastAsia="SimSun"/>
          <w:lang w:val="en-GB" w:bidi="ar-SA"/>
        </w:rPr>
        <w:t xml:space="preserve"> event of dispute.</w:t>
      </w:r>
      <w:r w:rsidR="0024157B">
        <w:rPr>
          <w:rStyle w:val="FootnoteReference"/>
          <w:rFonts w:eastAsia="SimSun"/>
          <w:lang w:val="en-GB" w:bidi="ar-SA"/>
        </w:rPr>
        <w:footnoteReference w:id="99"/>
      </w:r>
      <w:r w:rsidR="00464F07">
        <w:rPr>
          <w:rFonts w:eastAsia="SimSun"/>
          <w:lang w:val="en-GB" w:bidi="ar-SA"/>
        </w:rPr>
        <w:t xml:space="preserve"> The Commission often required mandatory arbitration commitment to be attached with compulsory licensing in merger control, but rarely push </w:t>
      </w:r>
      <w:r w:rsidR="004363A8">
        <w:rPr>
          <w:rFonts w:eastAsia="SimSun"/>
          <w:lang w:val="en-GB" w:bidi="ar-SA"/>
        </w:rPr>
        <w:t xml:space="preserve">arbitration </w:t>
      </w:r>
      <w:r w:rsidR="00494DF8">
        <w:rPr>
          <w:rFonts w:hint="eastAsia"/>
          <w:lang w:val="en-GB" w:bidi="ar-SA"/>
        </w:rPr>
        <w:t xml:space="preserve">clause </w:t>
      </w:r>
      <w:r w:rsidR="004363A8">
        <w:rPr>
          <w:rFonts w:eastAsia="SimSun"/>
          <w:lang w:val="en-GB" w:bidi="ar-SA"/>
        </w:rPr>
        <w:t xml:space="preserve">in compulsory licensing antitrust remedies. </w:t>
      </w:r>
      <w:r w:rsidR="004363A8">
        <w:rPr>
          <w:rFonts w:eastAsia="SimSun"/>
          <w:lang w:val="en-GB" w:bidi="ar-SA"/>
        </w:rPr>
        <w:lastRenderedPageBreak/>
        <w:t xml:space="preserve">The adoption of arbitration clause in a compulsory licence under Article 102 is totally up to the parties involved. </w:t>
      </w:r>
    </w:p>
    <w:p w:rsidR="00557D5C" w:rsidRPr="00844C55" w:rsidRDefault="005A5F48" w:rsidP="005A5F48">
      <w:pPr>
        <w:pStyle w:val="Heading1"/>
        <w:rPr>
          <w:lang w:val="en-GB"/>
        </w:rPr>
      </w:pPr>
      <w:r w:rsidRPr="00844C55">
        <w:rPr>
          <w:lang w:val="en-GB"/>
        </w:rPr>
        <w:t>Conclusion</w:t>
      </w:r>
    </w:p>
    <w:p w:rsidR="00DC1A12" w:rsidRDefault="00DC1A12" w:rsidP="00DC1A12">
      <w:pPr>
        <w:rPr>
          <w:lang w:val="en-GB" w:bidi="ar-SA"/>
        </w:rPr>
      </w:pPr>
      <w:r>
        <w:rPr>
          <w:rFonts w:eastAsia="SimSun" w:hint="eastAsia"/>
          <w:lang w:val="en-GB"/>
        </w:rPr>
        <w:t xml:space="preserve">Compulsory licensing is no </w:t>
      </w:r>
      <w:r>
        <w:rPr>
          <w:rFonts w:eastAsia="SimSun"/>
          <w:lang w:val="en-GB"/>
        </w:rPr>
        <w:t>doubt</w:t>
      </w:r>
      <w:r>
        <w:rPr>
          <w:rFonts w:eastAsia="SimSun" w:hint="eastAsia"/>
          <w:lang w:val="en-GB"/>
        </w:rPr>
        <w:t xml:space="preserve"> the most </w:t>
      </w:r>
      <w:r>
        <w:rPr>
          <w:rFonts w:eastAsia="SimSun"/>
          <w:lang w:val="en-GB"/>
        </w:rPr>
        <w:t>suitable</w:t>
      </w:r>
      <w:r>
        <w:rPr>
          <w:rFonts w:eastAsia="SimSun" w:hint="eastAsia"/>
          <w:lang w:val="en-GB"/>
        </w:rPr>
        <w:t xml:space="preserve"> remedy to resolve the IP</w:t>
      </w:r>
      <w:r w:rsidR="00012F22">
        <w:rPr>
          <w:rFonts w:eastAsia="SimSun" w:hint="eastAsia"/>
          <w:lang w:val="en-GB"/>
        </w:rPr>
        <w:t>R</w:t>
      </w:r>
      <w:r>
        <w:rPr>
          <w:rFonts w:eastAsia="SimSun" w:hint="eastAsia"/>
          <w:lang w:val="en-GB"/>
        </w:rPr>
        <w:t xml:space="preserve"> related competition concerns under Article 102 and merger control. </w:t>
      </w:r>
      <w:r w:rsidR="00787F0D">
        <w:rPr>
          <w:rFonts w:eastAsia="SimSun"/>
          <w:lang w:val="en-GB"/>
        </w:rPr>
        <w:t>A</w:t>
      </w:r>
      <w:r w:rsidR="00787F0D">
        <w:rPr>
          <w:rFonts w:eastAsia="SimSun" w:hint="eastAsia"/>
          <w:lang w:val="en-GB"/>
        </w:rPr>
        <w:t xml:space="preserve">lthough </w:t>
      </w:r>
      <w:r w:rsidR="00542194">
        <w:rPr>
          <w:rFonts w:eastAsia="SimSun" w:hint="eastAsia"/>
          <w:lang w:val="en-GB"/>
        </w:rPr>
        <w:t xml:space="preserve">EU antitrust and merger control adopted and designed </w:t>
      </w:r>
      <w:r w:rsidR="00787F0D">
        <w:rPr>
          <w:rFonts w:eastAsia="SimSun" w:hint="eastAsia"/>
          <w:lang w:val="en-GB"/>
        </w:rPr>
        <w:t xml:space="preserve">compulsory licenses </w:t>
      </w:r>
      <w:r w:rsidR="00542194">
        <w:rPr>
          <w:rFonts w:eastAsia="SimSun" w:hint="eastAsia"/>
          <w:lang w:val="en-GB"/>
        </w:rPr>
        <w:t xml:space="preserve">with significant different agendas and conditions, the purpose of </w:t>
      </w:r>
      <w:r>
        <w:rPr>
          <w:rFonts w:eastAsia="SimSun" w:hint="eastAsia"/>
          <w:lang w:val="en-GB"/>
        </w:rPr>
        <w:t>compulsory licensing</w:t>
      </w:r>
      <w:r w:rsidR="00542194">
        <w:rPr>
          <w:rFonts w:eastAsia="SimSun" w:hint="eastAsia"/>
          <w:lang w:val="en-GB"/>
        </w:rPr>
        <w:t xml:space="preserve"> is consistent, that is, </w:t>
      </w:r>
      <w:r w:rsidR="000649C5">
        <w:rPr>
          <w:rFonts w:eastAsia="SimSun" w:hint="eastAsia"/>
          <w:lang w:val="en-GB"/>
        </w:rPr>
        <w:t xml:space="preserve">to spur innovation and protect consumer interests. </w:t>
      </w:r>
      <w:r>
        <w:rPr>
          <w:rFonts w:eastAsia="SimSun"/>
          <w:lang w:val="en-GB" w:bidi="ar-SA"/>
        </w:rPr>
        <w:t>There</w:t>
      </w:r>
      <w:r w:rsidRPr="00844C55">
        <w:rPr>
          <w:rFonts w:eastAsia="SimSun"/>
          <w:lang w:val="en-GB" w:bidi="ar-SA"/>
        </w:rPr>
        <w:t xml:space="preserve"> is no argument that a</w:t>
      </w:r>
      <w:r w:rsidRPr="00844C55">
        <w:rPr>
          <w:lang w:val="en-GB" w:bidi="ar-SA"/>
        </w:rPr>
        <w:t>n improperly-designed compulsory license can stifle innovation</w:t>
      </w:r>
      <w:r>
        <w:rPr>
          <w:rFonts w:hint="eastAsia"/>
          <w:lang w:val="en-GB" w:bidi="ar-SA"/>
        </w:rPr>
        <w:t xml:space="preserve">. </w:t>
      </w:r>
      <w:r w:rsidR="00F369E3">
        <w:rPr>
          <w:rFonts w:eastAsia="SimSun" w:hint="eastAsia"/>
          <w:lang w:val="en-GB" w:bidi="ar-SA"/>
        </w:rPr>
        <w:t>C</w:t>
      </w:r>
      <w:r>
        <w:rPr>
          <w:rFonts w:ascii="TimesNewRoman" w:eastAsia="SimSun" w:hAnsi="TimesNewRoman" w:cs="TimesNewRoman" w:hint="eastAsia"/>
          <w:szCs w:val="24"/>
          <w:lang w:val="en-GB" w:bidi="ar-SA"/>
        </w:rPr>
        <w:t>ompetition</w:t>
      </w:r>
      <w:r w:rsidRPr="00844C55">
        <w:rPr>
          <w:rFonts w:ascii="TimesNewRoman" w:hAnsi="TimesNewRoman" w:cs="TimesNewRoman"/>
          <w:szCs w:val="24"/>
          <w:lang w:val="en-GB" w:bidi="ar-SA"/>
        </w:rPr>
        <w:t xml:space="preserve"> authorities </w:t>
      </w:r>
      <w:r w:rsidR="00F369E3">
        <w:rPr>
          <w:rFonts w:ascii="TimesNewRoman" w:eastAsia="SimSun" w:hAnsi="TimesNewRoman" w:cs="TimesNewRoman" w:hint="eastAsia"/>
          <w:szCs w:val="24"/>
          <w:lang w:val="en-GB" w:bidi="ar-SA"/>
        </w:rPr>
        <w:t xml:space="preserve">should </w:t>
      </w:r>
      <w:r w:rsidRPr="00844C55">
        <w:rPr>
          <w:rFonts w:ascii="TimesNewRoman" w:hAnsi="TimesNewRoman" w:cs="TimesNewRoman"/>
          <w:szCs w:val="24"/>
          <w:lang w:val="en-GB" w:bidi="ar-SA"/>
        </w:rPr>
        <w:t>carefully</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 xml:space="preserve">consider the potential harm to innovation, and </w:t>
      </w:r>
      <w:r w:rsidR="00D42940">
        <w:rPr>
          <w:rFonts w:ascii="TimesNewRoman" w:eastAsia="SimSun" w:hAnsi="TimesNewRoman" w:cs="TimesNewRoman" w:hint="eastAsia"/>
          <w:szCs w:val="24"/>
          <w:lang w:val="en-GB" w:bidi="ar-SA"/>
        </w:rPr>
        <w:t>design</w:t>
      </w:r>
      <w:r w:rsidRPr="00844C55">
        <w:rPr>
          <w:rFonts w:ascii="TimesNewRoman" w:hAnsi="TimesNewRoman" w:cs="TimesNewRoman"/>
          <w:szCs w:val="24"/>
          <w:lang w:val="en-GB" w:bidi="ar-SA"/>
        </w:rPr>
        <w:t xml:space="preserve"> </w:t>
      </w:r>
      <w:r w:rsidR="00D42940">
        <w:rPr>
          <w:rFonts w:ascii="TimesNewRoman" w:eastAsia="SimSun" w:hAnsi="TimesNewRoman" w:cs="TimesNewRoman" w:hint="eastAsia"/>
          <w:szCs w:val="24"/>
          <w:lang w:val="en-GB" w:bidi="ar-SA"/>
        </w:rPr>
        <w:t xml:space="preserve">compulsory </w:t>
      </w:r>
      <w:r w:rsidR="00D42940">
        <w:rPr>
          <w:rFonts w:ascii="TimesNewRoman" w:hAnsi="TimesNewRoman" w:cs="TimesNewRoman"/>
          <w:szCs w:val="24"/>
          <w:lang w:val="en-GB" w:bidi="ar-SA"/>
        </w:rPr>
        <w:t>licens</w:t>
      </w:r>
      <w:r w:rsidR="00D42940">
        <w:rPr>
          <w:rFonts w:ascii="TimesNewRoman" w:eastAsia="SimSun" w:hAnsi="TimesNewRoman" w:cs="TimesNewRoman" w:hint="eastAsia"/>
          <w:szCs w:val="24"/>
          <w:lang w:val="en-GB" w:bidi="ar-SA"/>
        </w:rPr>
        <w:t>ing</w:t>
      </w:r>
      <w:r w:rsidRPr="00844C55">
        <w:rPr>
          <w:rFonts w:ascii="TimesNewRoman" w:hAnsi="TimesNewRoman" w:cs="TimesNewRoman"/>
          <w:szCs w:val="24"/>
          <w:lang w:val="en-GB" w:bidi="ar-SA"/>
        </w:rPr>
        <w:t xml:space="preserve"> as narrowly as they</w:t>
      </w:r>
      <w:r w:rsidRPr="00844C55">
        <w:rPr>
          <w:rFonts w:ascii="TimesNewRoman" w:eastAsia="SimSun" w:hAnsi="TimesNewRoman" w:cs="TimesNewRoman"/>
          <w:szCs w:val="24"/>
          <w:lang w:val="en-GB" w:bidi="ar-SA"/>
        </w:rPr>
        <w:t xml:space="preserve"> </w:t>
      </w:r>
      <w:r w:rsidRPr="00844C55">
        <w:rPr>
          <w:rFonts w:ascii="TimesNewRoman" w:hAnsi="TimesNewRoman" w:cs="TimesNewRoman"/>
          <w:szCs w:val="24"/>
          <w:lang w:val="en-GB" w:bidi="ar-SA"/>
        </w:rPr>
        <w:t>reasonably can.</w:t>
      </w:r>
      <w:r w:rsidRPr="00844C55">
        <w:rPr>
          <w:rStyle w:val="FootnoteReference"/>
          <w:rFonts w:ascii="TimesNewRoman" w:eastAsia="SimSun" w:hAnsi="TimesNewRoman" w:cs="TimesNewRoman"/>
          <w:szCs w:val="24"/>
          <w:lang w:val="en-GB" w:bidi="ar-SA"/>
        </w:rPr>
        <w:footnoteReference w:id="100"/>
      </w:r>
      <w:r>
        <w:rPr>
          <w:rFonts w:ascii="TimesNewRoman" w:eastAsia="SimSun" w:hAnsi="TimesNewRoman" w:cs="TimesNewRoman" w:hint="eastAsia"/>
          <w:szCs w:val="24"/>
          <w:lang w:val="en-GB" w:bidi="ar-SA"/>
        </w:rPr>
        <w:t xml:space="preserve"> </w:t>
      </w:r>
      <w:r w:rsidR="00012F22" w:rsidRPr="00844C55">
        <w:rPr>
          <w:lang w:val="en-GB"/>
        </w:rPr>
        <w:t xml:space="preserve">Competition and innovation </w:t>
      </w:r>
      <w:r w:rsidR="00012F22">
        <w:rPr>
          <w:rFonts w:eastAsia="SimSun" w:hint="eastAsia"/>
          <w:lang w:val="en-GB"/>
        </w:rPr>
        <w:t xml:space="preserve">can </w:t>
      </w:r>
      <w:r w:rsidR="00012F22" w:rsidRPr="00844C55">
        <w:rPr>
          <w:lang w:val="en-GB"/>
        </w:rPr>
        <w:t xml:space="preserve">thrive through the </w:t>
      </w:r>
      <w:r w:rsidR="00012F22">
        <w:rPr>
          <w:rFonts w:eastAsia="SimSun" w:hint="eastAsia"/>
          <w:lang w:val="en-GB"/>
        </w:rPr>
        <w:t>proper</w:t>
      </w:r>
      <w:r w:rsidR="00012F22" w:rsidRPr="00844C55">
        <w:rPr>
          <w:lang w:val="en-GB"/>
        </w:rPr>
        <w:t xml:space="preserve"> application of </w:t>
      </w:r>
      <w:r w:rsidR="00012F22">
        <w:rPr>
          <w:rFonts w:eastAsia="SimSun" w:hint="eastAsia"/>
          <w:lang w:val="en-GB"/>
        </w:rPr>
        <w:t xml:space="preserve">compulsory licensing. </w:t>
      </w:r>
      <w:r w:rsidR="004B060D">
        <w:rPr>
          <w:rFonts w:ascii="TimesNewRoman" w:eastAsia="SimSun" w:hAnsi="TimesNewRoman" w:cs="TimesNewRoman"/>
          <w:szCs w:val="24"/>
          <w:lang w:val="en-GB" w:bidi="ar-SA"/>
        </w:rPr>
        <w:t>Therefore</w:t>
      </w:r>
      <w:r w:rsidR="00C820BB">
        <w:rPr>
          <w:rFonts w:ascii="TimesNewRoman" w:eastAsia="SimSun" w:hAnsi="TimesNewRoman" w:cs="TimesNewRoman" w:hint="eastAsia"/>
          <w:szCs w:val="24"/>
          <w:lang w:val="en-GB" w:bidi="ar-SA"/>
        </w:rPr>
        <w:t xml:space="preserve">, </w:t>
      </w:r>
      <w:r w:rsidR="00012F22">
        <w:rPr>
          <w:rFonts w:ascii="TimesNewRoman" w:eastAsia="SimSun" w:hAnsi="TimesNewRoman" w:cs="TimesNewRoman" w:hint="eastAsia"/>
          <w:szCs w:val="24"/>
          <w:lang w:val="en-GB" w:bidi="ar-SA"/>
        </w:rPr>
        <w:t>th</w:t>
      </w:r>
      <w:r w:rsidR="004B060D">
        <w:rPr>
          <w:rFonts w:ascii="TimesNewRoman" w:eastAsia="SimSun" w:hAnsi="TimesNewRoman" w:cs="TimesNewRoman" w:hint="eastAsia"/>
          <w:szCs w:val="24"/>
          <w:lang w:val="en-GB" w:bidi="ar-SA"/>
        </w:rPr>
        <w:t xml:space="preserve">e </w:t>
      </w:r>
      <w:r w:rsidR="004B060D">
        <w:rPr>
          <w:rFonts w:ascii="TimesNewRoman" w:eastAsia="SimSun" w:hAnsi="TimesNewRoman" w:cs="TimesNewRoman"/>
          <w:szCs w:val="24"/>
          <w:lang w:val="en-GB" w:bidi="ar-SA"/>
        </w:rPr>
        <w:t>mechanisms</w:t>
      </w:r>
      <w:r w:rsidR="004B060D">
        <w:rPr>
          <w:rFonts w:ascii="TimesNewRoman" w:eastAsia="SimSun" w:hAnsi="TimesNewRoman" w:cs="TimesNewRoman" w:hint="eastAsia"/>
          <w:szCs w:val="24"/>
          <w:lang w:val="en-GB" w:bidi="ar-SA"/>
        </w:rPr>
        <w:t xml:space="preserve"> </w:t>
      </w:r>
      <w:r w:rsidR="00C820BB">
        <w:rPr>
          <w:rFonts w:ascii="TimesNewRoman" w:eastAsia="SimSun" w:hAnsi="TimesNewRoman" w:cs="TimesNewRoman" w:hint="eastAsia"/>
          <w:szCs w:val="24"/>
          <w:lang w:val="en-GB" w:bidi="ar-SA"/>
        </w:rPr>
        <w:t xml:space="preserve">adopted </w:t>
      </w:r>
      <w:r w:rsidR="000B3BC5">
        <w:rPr>
          <w:rFonts w:ascii="TimesNewRoman" w:eastAsia="SimSun" w:hAnsi="TimesNewRoman" w:cs="TimesNewRoman" w:hint="eastAsia"/>
          <w:szCs w:val="24"/>
          <w:lang w:val="en-GB" w:bidi="ar-SA"/>
        </w:rPr>
        <w:t xml:space="preserve">before </w:t>
      </w:r>
      <w:r w:rsidR="004B060D">
        <w:rPr>
          <w:rFonts w:ascii="TimesNewRoman" w:eastAsia="SimSun" w:hAnsi="TimesNewRoman" w:cs="TimesNewRoman" w:hint="eastAsia"/>
          <w:szCs w:val="24"/>
          <w:lang w:val="en-GB" w:bidi="ar-SA"/>
        </w:rPr>
        <w:t xml:space="preserve">under either Article 102 or merger </w:t>
      </w:r>
      <w:r w:rsidR="004B060D">
        <w:rPr>
          <w:rFonts w:ascii="TimesNewRoman" w:eastAsia="SimSun" w:hAnsi="TimesNewRoman" w:cs="TimesNewRoman"/>
          <w:szCs w:val="24"/>
          <w:lang w:val="en-GB" w:bidi="ar-SA"/>
        </w:rPr>
        <w:t>control</w:t>
      </w:r>
      <w:r w:rsidR="00C820BB">
        <w:rPr>
          <w:rFonts w:ascii="TimesNewRoman" w:eastAsia="SimSun" w:hAnsi="TimesNewRoman" w:cs="TimesNewRoman" w:hint="eastAsia"/>
          <w:szCs w:val="24"/>
          <w:lang w:val="en-GB" w:bidi="ar-SA"/>
        </w:rPr>
        <w:t xml:space="preserve"> should not be confined to one policy regime, and can be </w:t>
      </w:r>
      <w:r w:rsidR="0039414E">
        <w:rPr>
          <w:rFonts w:ascii="TimesNewRoman" w:eastAsia="SimSun" w:hAnsi="TimesNewRoman" w:cs="TimesNewRoman" w:hint="eastAsia"/>
          <w:szCs w:val="24"/>
          <w:lang w:val="en-GB" w:bidi="ar-SA"/>
        </w:rPr>
        <w:t>taken into consideration</w:t>
      </w:r>
      <w:r w:rsidR="00A945C5" w:rsidRPr="00A945C5">
        <w:rPr>
          <w:rFonts w:ascii="TimesNewRoman" w:eastAsia="SimSun" w:hAnsi="TimesNewRoman" w:cs="TimesNewRoman" w:hint="eastAsia"/>
          <w:szCs w:val="24"/>
          <w:lang w:val="en-GB" w:bidi="ar-SA"/>
        </w:rPr>
        <w:t xml:space="preserve"> </w:t>
      </w:r>
      <w:r w:rsidR="00A945C5">
        <w:rPr>
          <w:rFonts w:ascii="TimesNewRoman" w:eastAsia="SimSun" w:hAnsi="TimesNewRoman" w:cs="TimesNewRoman" w:hint="eastAsia"/>
          <w:szCs w:val="24"/>
          <w:lang w:val="en-GB" w:bidi="ar-SA"/>
        </w:rPr>
        <w:t>to ensure the proper application of compulsory licensing as a competition remedy</w:t>
      </w:r>
      <w:r w:rsidR="0039414E">
        <w:rPr>
          <w:rFonts w:ascii="TimesNewRoman" w:eastAsia="SimSun" w:hAnsi="TimesNewRoman" w:cs="TimesNewRoman" w:hint="eastAsia"/>
          <w:szCs w:val="24"/>
          <w:lang w:val="en-GB" w:bidi="ar-SA"/>
        </w:rPr>
        <w:t xml:space="preserve">. </w:t>
      </w:r>
      <w:r w:rsidR="00C820BB">
        <w:rPr>
          <w:rFonts w:ascii="TimesNewRoman" w:eastAsia="SimSun" w:hAnsi="TimesNewRoman" w:cs="TimesNewRoman" w:hint="eastAsia"/>
          <w:szCs w:val="24"/>
          <w:lang w:val="en-GB" w:bidi="ar-SA"/>
        </w:rPr>
        <w:t xml:space="preserve"> </w:t>
      </w:r>
      <w:r w:rsidR="004B060D">
        <w:rPr>
          <w:rFonts w:ascii="TimesNewRoman" w:eastAsia="SimSun" w:hAnsi="TimesNewRoman" w:cs="TimesNewRoman" w:hint="eastAsia"/>
          <w:szCs w:val="24"/>
          <w:lang w:val="en-GB" w:bidi="ar-SA"/>
        </w:rPr>
        <w:t xml:space="preserve"> </w:t>
      </w:r>
    </w:p>
    <w:p w:rsidR="00CE41AC" w:rsidRPr="002370B7" w:rsidRDefault="00CE41AC" w:rsidP="00EF3C4A">
      <w:pPr>
        <w:rPr>
          <w:rFonts w:eastAsia="SimSun"/>
          <w:lang w:val="en-GB" w:bidi="ar-SA"/>
        </w:rPr>
      </w:pPr>
      <w:r>
        <w:rPr>
          <w:rFonts w:eastAsia="SimSun" w:hint="eastAsia"/>
          <w:lang w:val="en-GB" w:bidi="ar-SA"/>
        </w:rPr>
        <w:t>O</w:t>
      </w:r>
      <w:r>
        <w:rPr>
          <w:rFonts w:eastAsia="SimSun"/>
          <w:lang w:val="en-GB" w:bidi="ar-SA"/>
        </w:rPr>
        <w:t>u</w:t>
      </w:r>
      <w:r>
        <w:rPr>
          <w:rFonts w:eastAsia="SimSun" w:hint="eastAsia"/>
          <w:lang w:val="en-GB" w:bidi="ar-SA"/>
        </w:rPr>
        <w:t xml:space="preserve">tsider of competition law, compulsory licensing has achieved a big legal breakthrough that it is accepted, in the Doha </w:t>
      </w:r>
      <w:r>
        <w:rPr>
          <w:rFonts w:eastAsia="SimSun"/>
          <w:lang w:val="en-GB" w:bidi="ar-SA"/>
        </w:rPr>
        <w:t>Declaration</w:t>
      </w:r>
      <w:r>
        <w:rPr>
          <w:rFonts w:eastAsia="SimSun" w:hint="eastAsia"/>
          <w:lang w:val="en-GB" w:bidi="ar-SA"/>
        </w:rPr>
        <w:t xml:space="preserve"> of t</w:t>
      </w:r>
      <w:r w:rsidR="00EF3C4A" w:rsidRPr="00844C55">
        <w:rPr>
          <w:rFonts w:eastAsia="SimSun"/>
          <w:lang w:val="en-GB" w:bidi="ar-SA"/>
        </w:rPr>
        <w:t xml:space="preserve">he World Trade Organisation in November 2001, </w:t>
      </w:r>
      <w:r>
        <w:rPr>
          <w:rFonts w:eastAsia="SimSun" w:hint="eastAsia"/>
          <w:lang w:val="en-GB" w:bidi="ar-SA"/>
        </w:rPr>
        <w:t xml:space="preserve">as a necessary tool for public health interests which enables </w:t>
      </w:r>
      <w:r w:rsidR="00EF3C4A" w:rsidRPr="00844C55">
        <w:rPr>
          <w:rFonts w:eastAsia="SimSun"/>
          <w:lang w:val="en-GB" w:bidi="ar-SA"/>
        </w:rPr>
        <w:t>less-developed countries to grant compulsory licenses to manufacture and distribute domestically certain anti-retroviral drugs in case of public health crises.</w:t>
      </w:r>
      <w:r w:rsidR="00774BA6">
        <w:rPr>
          <w:rFonts w:eastAsia="SimSun" w:hint="eastAsia"/>
          <w:lang w:val="en-GB" w:bidi="ar-SA"/>
        </w:rPr>
        <w:t xml:space="preserve"> T</w:t>
      </w:r>
      <w:r w:rsidR="00774BA6">
        <w:rPr>
          <w:rFonts w:eastAsia="SimSun"/>
          <w:lang w:val="en-GB" w:bidi="ar-SA"/>
        </w:rPr>
        <w:t>h</w:t>
      </w:r>
      <w:r w:rsidR="00774BA6">
        <w:rPr>
          <w:rFonts w:eastAsia="SimSun" w:hint="eastAsia"/>
          <w:lang w:val="en-GB" w:bidi="ar-SA"/>
        </w:rPr>
        <w:t>is policy demonstrated that</w:t>
      </w:r>
      <w:r w:rsidR="00EF3C4A" w:rsidRPr="00844C55">
        <w:rPr>
          <w:rFonts w:eastAsia="SimSun"/>
          <w:lang w:val="en-GB" w:bidi="ar-SA"/>
        </w:rPr>
        <w:t xml:space="preserve"> </w:t>
      </w:r>
      <w:r w:rsidR="00774BA6" w:rsidRPr="00844C55">
        <w:rPr>
          <w:rFonts w:eastAsia="SimSun"/>
          <w:lang w:val="en-GB" w:bidi="ar-SA"/>
        </w:rPr>
        <w:t xml:space="preserve">the interests of intellectual property owners </w:t>
      </w:r>
      <w:r w:rsidR="00774BA6">
        <w:rPr>
          <w:rFonts w:eastAsia="SimSun" w:cs="Times New Roman" w:hint="eastAsia"/>
          <w:iCs/>
          <w:color w:val="000000"/>
          <w:szCs w:val="24"/>
          <w:shd w:val="clear" w:color="auto" w:fill="FFFFFF"/>
          <w:lang w:val="en-GB"/>
        </w:rPr>
        <w:t>could be</w:t>
      </w:r>
      <w:r w:rsidR="00774BA6" w:rsidRPr="00844C55">
        <w:rPr>
          <w:rFonts w:eastAsia="SimSun"/>
          <w:lang w:val="en-GB" w:bidi="ar-SA"/>
        </w:rPr>
        <w:t xml:space="preserve"> outweighed by other public interests</w:t>
      </w:r>
      <w:r w:rsidR="00774BA6">
        <w:rPr>
          <w:rFonts w:eastAsia="SimSun" w:hint="eastAsia"/>
          <w:lang w:val="en-GB" w:bidi="ar-SA"/>
        </w:rPr>
        <w:t xml:space="preserve"> under </w:t>
      </w:r>
      <w:r w:rsidR="00FE2D76">
        <w:rPr>
          <w:rFonts w:eastAsia="SimSun" w:hint="eastAsia"/>
          <w:lang w:val="en-GB" w:bidi="ar-SA"/>
        </w:rPr>
        <w:t>limited</w:t>
      </w:r>
      <w:r w:rsidR="00774BA6">
        <w:rPr>
          <w:rFonts w:eastAsia="SimSun" w:hint="eastAsia"/>
          <w:lang w:val="en-GB" w:bidi="ar-SA"/>
        </w:rPr>
        <w:t xml:space="preserve"> situations.</w:t>
      </w:r>
      <w:r w:rsidR="00774BA6">
        <w:rPr>
          <w:rStyle w:val="FootnoteReference"/>
          <w:rFonts w:eastAsia="SimSun"/>
          <w:lang w:val="en-GB" w:bidi="ar-SA"/>
        </w:rPr>
        <w:footnoteReference w:id="101"/>
      </w:r>
      <w:r w:rsidR="006C39E2">
        <w:rPr>
          <w:rFonts w:eastAsia="SimSun" w:hint="eastAsia"/>
          <w:lang w:val="en-GB" w:bidi="ar-SA"/>
        </w:rPr>
        <w:t xml:space="preserve"> </w:t>
      </w:r>
      <w:r w:rsidR="002370B7">
        <w:rPr>
          <w:rFonts w:eastAsia="SimSun"/>
          <w:lang w:val="en-GB" w:bidi="ar-SA"/>
        </w:rPr>
        <w:t>The</w:t>
      </w:r>
      <w:r w:rsidR="002370B7">
        <w:rPr>
          <w:rFonts w:eastAsia="SimSun" w:hint="eastAsia"/>
          <w:lang w:val="en-GB" w:bidi="ar-SA"/>
        </w:rPr>
        <w:t xml:space="preserve"> impact of Doha Declaration is unclear on compulsory licensing in </w:t>
      </w:r>
      <w:r w:rsidR="002370B7">
        <w:rPr>
          <w:rFonts w:eastAsia="SimSun"/>
          <w:lang w:val="en-GB" w:bidi="ar-SA"/>
        </w:rPr>
        <w:t>the</w:t>
      </w:r>
      <w:r w:rsidR="002370B7">
        <w:rPr>
          <w:rFonts w:eastAsia="SimSun" w:hint="eastAsia"/>
          <w:lang w:val="en-GB" w:bidi="ar-SA"/>
        </w:rPr>
        <w:t xml:space="preserve"> context of competition law. But there is a reason to believe </w:t>
      </w:r>
      <w:r w:rsidR="002370B7">
        <w:rPr>
          <w:rFonts w:eastAsia="SimSun"/>
          <w:lang w:val="en-GB" w:bidi="ar-SA"/>
        </w:rPr>
        <w:t>that</w:t>
      </w:r>
      <w:r w:rsidR="002370B7">
        <w:rPr>
          <w:rFonts w:eastAsia="SimSun" w:hint="eastAsia"/>
          <w:lang w:val="en-GB" w:bidi="ar-SA"/>
        </w:rPr>
        <w:t xml:space="preserve"> compulsory licensing has been accepted as an effective remedy for public interests including market </w:t>
      </w:r>
      <w:r w:rsidR="002370B7">
        <w:rPr>
          <w:rFonts w:eastAsia="SimSun"/>
          <w:lang w:val="en-GB" w:bidi="ar-SA"/>
        </w:rPr>
        <w:t>competition</w:t>
      </w:r>
      <w:r w:rsidR="002370B7">
        <w:rPr>
          <w:rFonts w:eastAsia="SimSun" w:hint="eastAsia"/>
          <w:lang w:val="en-GB" w:bidi="ar-SA"/>
        </w:rPr>
        <w:t xml:space="preserve">.  </w:t>
      </w:r>
    </w:p>
    <w:p w:rsidR="001D12D9" w:rsidRDefault="001D12D9" w:rsidP="005D7779">
      <w:pPr>
        <w:autoSpaceDE w:val="0"/>
        <w:autoSpaceDN w:val="0"/>
        <w:adjustRightInd w:val="0"/>
        <w:spacing w:before="0" w:after="0" w:line="240" w:lineRule="auto"/>
        <w:rPr>
          <w:rFonts w:ascii="TimesNewRoman" w:eastAsia="SimSun" w:hAnsi="TimesNewRoman" w:cs="TimesNewRoman"/>
          <w:szCs w:val="24"/>
          <w:lang w:val="en-GB" w:bidi="ar-SA"/>
        </w:rPr>
      </w:pPr>
    </w:p>
    <w:p w:rsidR="001D12D9" w:rsidRPr="001D12D9" w:rsidRDefault="001D12D9" w:rsidP="005D7779">
      <w:pPr>
        <w:autoSpaceDE w:val="0"/>
        <w:autoSpaceDN w:val="0"/>
        <w:adjustRightInd w:val="0"/>
        <w:spacing w:before="0" w:after="0" w:line="240" w:lineRule="auto"/>
        <w:rPr>
          <w:rFonts w:eastAsia="SimSun"/>
          <w:lang w:val="en-GB"/>
        </w:rPr>
      </w:pPr>
    </w:p>
    <w:sectPr w:rsidR="001D12D9" w:rsidRPr="001D12D9" w:rsidSect="0054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97" w:rsidRDefault="00970697" w:rsidP="00947092">
      <w:pPr>
        <w:spacing w:after="0" w:line="240" w:lineRule="auto"/>
      </w:pPr>
      <w:r>
        <w:separator/>
      </w:r>
    </w:p>
  </w:endnote>
  <w:endnote w:type="continuationSeparator" w:id="0">
    <w:p w:rsidR="00970697" w:rsidRDefault="00970697" w:rsidP="0094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Arial Unicode MS"/>
    <w:panose1 w:val="00000000000000000000"/>
    <w:charset w:val="00"/>
    <w:family w:val="auto"/>
    <w:notTrueType/>
    <w:pitch w:val="default"/>
    <w:sig w:usb0="00000000" w:usb1="080E0000" w:usb2="00000010" w:usb3="00000000" w:csb0="00040001" w:csb1="00000000"/>
  </w:font>
  <w:font w:name="HNHFGB+TimesNewRoman,Italic">
    <w:altName w:val="Times New Roman"/>
    <w:panose1 w:val="00000000000000000000"/>
    <w:charset w:val="86"/>
    <w:family w:val="roman"/>
    <w:notTrueType/>
    <w:pitch w:val="default"/>
    <w:sig w:usb0="00000001" w:usb1="080E0000" w:usb2="00000010" w:usb3="00000000" w:csb0="00040000"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NRMT-Italic">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97" w:rsidRDefault="00970697" w:rsidP="00947092">
      <w:pPr>
        <w:spacing w:after="0" w:line="240" w:lineRule="auto"/>
      </w:pPr>
      <w:r>
        <w:separator/>
      </w:r>
    </w:p>
  </w:footnote>
  <w:footnote w:type="continuationSeparator" w:id="0">
    <w:p w:rsidR="00970697" w:rsidRDefault="00970697" w:rsidP="00947092">
      <w:pPr>
        <w:spacing w:after="0" w:line="240" w:lineRule="auto"/>
      </w:pPr>
      <w:r>
        <w:continuationSeparator/>
      </w:r>
    </w:p>
  </w:footnote>
  <w:footnote w:id="1">
    <w:p w:rsidR="00EC2E3A" w:rsidRPr="00D0179E" w:rsidRDefault="00EC2E3A" w:rsidP="00282243">
      <w:pPr>
        <w:pStyle w:val="Footnote"/>
      </w:pPr>
      <w:r w:rsidRPr="00D0179E">
        <w:footnoteRef/>
      </w:r>
      <w:r w:rsidRPr="00D0179E">
        <w:t xml:space="preserve"> U.S. Dep't of </w:t>
      </w:r>
      <w:proofErr w:type="gramStart"/>
      <w:r w:rsidRPr="00D0179E">
        <w:t>Justice &amp;</w:t>
      </w:r>
      <w:proofErr w:type="gramEnd"/>
      <w:r w:rsidRPr="00D0179E">
        <w:t xml:space="preserve"> Fed. Trade </w:t>
      </w:r>
      <w:proofErr w:type="spellStart"/>
      <w:r w:rsidRPr="00D0179E">
        <w:t>Comm'n</w:t>
      </w:r>
      <w:proofErr w:type="spellEnd"/>
      <w:r w:rsidRPr="00D0179E">
        <w:t xml:space="preserve">, Antitrust Enforcement and Intellectual Property Rights: Promoting Innovation and Competition (2007), Available at: </w:t>
      </w:r>
      <w:hyperlink r:id="rId1" w:history="1">
        <w:r w:rsidRPr="00D0179E">
          <w:rPr>
            <w:rStyle w:val="Hyperlink"/>
            <w:rFonts w:ascii="Times New Roman" w:hAnsi="Times New Roman" w:cs="Times New Roman"/>
          </w:rPr>
          <w:t>www.usdoj.gov/atr/public/hearings/ip/222655.pdf</w:t>
        </w:r>
      </w:hyperlink>
      <w:r w:rsidRPr="00D0179E">
        <w:t xml:space="preserve">, p.1.  </w:t>
      </w:r>
    </w:p>
  </w:footnote>
  <w:footnote w:id="2">
    <w:p w:rsidR="00F15A70" w:rsidRPr="00D0179E" w:rsidRDefault="00F15A70" w:rsidP="00F15A70">
      <w:pPr>
        <w:pStyle w:val="Footnote"/>
      </w:pPr>
      <w:r w:rsidRPr="00D0179E">
        <w:rPr>
          <w:rStyle w:val="FootnoteReference"/>
          <w:rFonts w:ascii="Times New Roman" w:hAnsi="Times New Roman" w:cs="Times New Roman"/>
        </w:rPr>
        <w:footnoteRef/>
      </w:r>
      <w:r w:rsidRPr="00D0179E">
        <w:t xml:space="preserve"> Federal Trade Commission, To Promote Innovation: The Proper Balance of Competition and Patent Law and Policy (“2003 FTC IP Report”), (</w:t>
      </w:r>
      <w:proofErr w:type="spellStart"/>
      <w:r w:rsidRPr="00D0179E">
        <w:t>oct.</w:t>
      </w:r>
      <w:proofErr w:type="spellEnd"/>
      <w:r w:rsidRPr="00D0179E">
        <w:t xml:space="preserve"> 2003), pp.1, available at: </w:t>
      </w:r>
      <w:hyperlink r:id="rId2" w:history="1">
        <w:r w:rsidRPr="00D0179E">
          <w:t>http://ftc.gov/os/2003/10/innovationrpt.pdf</w:t>
        </w:r>
      </w:hyperlink>
      <w:r w:rsidRPr="00D0179E">
        <w:t xml:space="preserve">. </w:t>
      </w:r>
    </w:p>
  </w:footnote>
  <w:footnote w:id="3">
    <w:p w:rsidR="004B20BB" w:rsidRPr="008D23E5" w:rsidRDefault="004B20BB" w:rsidP="004B20BB">
      <w:pPr>
        <w:pStyle w:val="Footnote"/>
        <w:rPr>
          <w:rFonts w:eastAsia="SimSun"/>
        </w:rPr>
      </w:pPr>
      <w:r>
        <w:rPr>
          <w:rStyle w:val="FootnoteReference"/>
        </w:rPr>
        <w:footnoteRef/>
      </w:r>
      <w:r>
        <w:t xml:space="preserve"> </w:t>
      </w:r>
      <w:r>
        <w:rPr>
          <w:rFonts w:eastAsia="SimSun" w:hint="eastAsia"/>
        </w:rPr>
        <w:t xml:space="preserve">TFEU stands </w:t>
      </w:r>
      <w:r>
        <w:rPr>
          <w:rFonts w:eastAsia="SimSun"/>
        </w:rPr>
        <w:t xml:space="preserve">for the </w:t>
      </w:r>
      <w:r>
        <w:rPr>
          <w:rFonts w:eastAsia="SimSun" w:hint="eastAsia"/>
        </w:rPr>
        <w:t>T</w:t>
      </w:r>
      <w:r>
        <w:rPr>
          <w:rFonts w:eastAsia="SimSun"/>
        </w:rPr>
        <w:t xml:space="preserve">reaty on the </w:t>
      </w:r>
      <w:r>
        <w:rPr>
          <w:rFonts w:eastAsia="SimSun" w:hint="eastAsia"/>
        </w:rPr>
        <w:t>F</w:t>
      </w:r>
      <w:r w:rsidRPr="008D23E5">
        <w:rPr>
          <w:rFonts w:eastAsia="SimSun"/>
        </w:rPr>
        <w:t>unctioning of the</w:t>
      </w:r>
      <w:r>
        <w:rPr>
          <w:rFonts w:eastAsia="SimSun"/>
        </w:rPr>
        <w:t xml:space="preserve"> European </w:t>
      </w:r>
      <w:r>
        <w:rPr>
          <w:rFonts w:eastAsia="SimSun" w:hint="eastAsia"/>
        </w:rPr>
        <w:t>U</w:t>
      </w:r>
      <w:r w:rsidRPr="008D23E5">
        <w:rPr>
          <w:rFonts w:eastAsia="SimSun"/>
        </w:rPr>
        <w:t>nion</w:t>
      </w:r>
      <w:r>
        <w:rPr>
          <w:rFonts w:eastAsia="SimSun" w:hint="eastAsia"/>
        </w:rPr>
        <w:t>.</w:t>
      </w:r>
    </w:p>
  </w:footnote>
  <w:footnote w:id="4">
    <w:p w:rsidR="0096410D" w:rsidRPr="00D0179E" w:rsidRDefault="0096410D" w:rsidP="00282243">
      <w:pPr>
        <w:pStyle w:val="Footnote"/>
      </w:pPr>
      <w:r w:rsidRPr="00D0179E">
        <w:rPr>
          <w:rStyle w:val="FootnoteReference"/>
          <w:rFonts w:cs="Times New Roman"/>
        </w:rPr>
        <w:footnoteRef/>
      </w:r>
      <w:r w:rsidRPr="00D0179E">
        <w:t xml:space="preserve"> Mario Monti, European Commissioner for Competition Policy, January 2004</w:t>
      </w:r>
    </w:p>
  </w:footnote>
  <w:footnote w:id="5">
    <w:p w:rsidR="0085087F" w:rsidRPr="00D0179E" w:rsidRDefault="0085087F" w:rsidP="00282243">
      <w:pPr>
        <w:pStyle w:val="Footnote"/>
        <w:rPr>
          <w:rFonts w:eastAsia="SimSun"/>
        </w:rPr>
      </w:pPr>
      <w:r w:rsidRPr="00D0179E">
        <w:rPr>
          <w:rStyle w:val="FootnoteReference"/>
        </w:rPr>
        <w:footnoteRef/>
      </w:r>
      <w:r w:rsidRPr="00D0179E">
        <w:t xml:space="preserve"> </w:t>
      </w:r>
      <w:r w:rsidR="00CD684D" w:rsidRPr="00D0179E">
        <w:t xml:space="preserve">See, </w:t>
      </w:r>
      <w:r w:rsidR="00CD684D" w:rsidRPr="00D0179E">
        <w:rPr>
          <w:szCs w:val="18"/>
        </w:rPr>
        <w:t>Richard A</w:t>
      </w:r>
      <w:r w:rsidR="00CD684D" w:rsidRPr="00D0179E">
        <w:rPr>
          <w:lang w:bidi="ar-SA"/>
        </w:rPr>
        <w:t xml:space="preserve">. Posner, </w:t>
      </w:r>
      <w:r w:rsidR="00CD684D" w:rsidRPr="00D0179E">
        <w:rPr>
          <w:rFonts w:ascii="Times-Italic" w:hAnsi="Times-Italic" w:cs="Times-Italic"/>
          <w:i/>
          <w:iCs/>
          <w:lang w:bidi="ar-SA"/>
        </w:rPr>
        <w:t>I</w:t>
      </w:r>
      <w:r w:rsidR="00CD684D" w:rsidRPr="00D0179E">
        <w:rPr>
          <w:rFonts w:ascii="Times-Italic" w:eastAsia="SimSun" w:hAnsi="Times-Italic" w:cs="Times-Italic"/>
          <w:i/>
          <w:iCs/>
          <w:lang w:bidi="ar-SA"/>
        </w:rPr>
        <w:t xml:space="preserve">ntellectual </w:t>
      </w:r>
      <w:r w:rsidR="00CD684D" w:rsidRPr="00D0179E">
        <w:rPr>
          <w:rFonts w:ascii="Times-Italic" w:hAnsi="Times-Italic" w:cs="Times-Italic"/>
          <w:i/>
          <w:iCs/>
          <w:lang w:bidi="ar-SA"/>
        </w:rPr>
        <w:t>P</w:t>
      </w:r>
      <w:r w:rsidR="00CD684D" w:rsidRPr="00D0179E">
        <w:rPr>
          <w:rFonts w:ascii="Times-Italic" w:eastAsia="SimSun" w:hAnsi="Times-Italic" w:cs="Times-Italic"/>
          <w:i/>
          <w:iCs/>
          <w:lang w:bidi="ar-SA"/>
        </w:rPr>
        <w:t>roperty</w:t>
      </w:r>
      <w:r w:rsidR="00CD684D" w:rsidRPr="00D0179E">
        <w:rPr>
          <w:rFonts w:ascii="Times-Italic" w:hAnsi="Times-Italic" w:cs="Times-Italic"/>
          <w:i/>
          <w:iCs/>
          <w:lang w:bidi="ar-SA"/>
        </w:rPr>
        <w:t>: The Law and Economics Approach</w:t>
      </w:r>
      <w:r w:rsidR="00CD684D" w:rsidRPr="00D0179E">
        <w:rPr>
          <w:lang w:bidi="ar-SA"/>
        </w:rPr>
        <w:t>,</w:t>
      </w:r>
      <w:r w:rsidR="00CD684D" w:rsidRPr="00D0179E">
        <w:rPr>
          <w:rFonts w:eastAsia="SimSun"/>
          <w:lang w:bidi="ar-SA"/>
        </w:rPr>
        <w:t xml:space="preserve"> </w:t>
      </w:r>
      <w:r w:rsidR="00CD684D" w:rsidRPr="00D0179E">
        <w:rPr>
          <w:lang w:bidi="ar-SA"/>
        </w:rPr>
        <w:t>19 J</w:t>
      </w:r>
      <w:r w:rsidR="00CD684D" w:rsidRPr="00D0179E">
        <w:rPr>
          <w:rFonts w:eastAsia="SimSun"/>
          <w:lang w:bidi="ar-SA"/>
        </w:rPr>
        <w:t>ournal of</w:t>
      </w:r>
      <w:r w:rsidR="00CD684D" w:rsidRPr="00D0179E">
        <w:rPr>
          <w:lang w:bidi="ar-SA"/>
        </w:rPr>
        <w:t xml:space="preserve"> </w:t>
      </w:r>
      <w:r w:rsidR="00CD684D" w:rsidRPr="00D0179E">
        <w:t>Econ</w:t>
      </w:r>
      <w:r w:rsidR="00CD684D" w:rsidRPr="00D0179E">
        <w:rPr>
          <w:rFonts w:eastAsia="SimSun"/>
        </w:rPr>
        <w:t>omic</w:t>
      </w:r>
      <w:r w:rsidR="00CD684D" w:rsidRPr="00D0179E">
        <w:t xml:space="preserve">. </w:t>
      </w:r>
      <w:proofErr w:type="gramStart"/>
      <w:r w:rsidR="00CD684D" w:rsidRPr="00D0179E">
        <w:t>Persp</w:t>
      </w:r>
      <w:r w:rsidR="00CD684D" w:rsidRPr="00D0179E">
        <w:rPr>
          <w:rFonts w:eastAsia="SimSun"/>
        </w:rPr>
        <w:t>ective</w:t>
      </w:r>
      <w:r w:rsidR="00CD684D" w:rsidRPr="00D0179E">
        <w:rPr>
          <w:lang w:bidi="ar-SA"/>
        </w:rPr>
        <w:t xml:space="preserve"> 57 (2005)</w:t>
      </w:r>
      <w:r w:rsidR="00CD684D" w:rsidRPr="00D0179E">
        <w:rPr>
          <w:rFonts w:eastAsia="SimSun"/>
          <w:lang w:bidi="ar-SA"/>
        </w:rPr>
        <w:t>.</w:t>
      </w:r>
      <w:proofErr w:type="gramEnd"/>
    </w:p>
  </w:footnote>
  <w:footnote w:id="6">
    <w:p w:rsidR="00042091" w:rsidRPr="00D0179E" w:rsidRDefault="00042091" w:rsidP="00042091">
      <w:pPr>
        <w:pStyle w:val="Footnote"/>
        <w:rPr>
          <w:rFonts w:eastAsia="SimSun"/>
        </w:rPr>
      </w:pPr>
      <w:r w:rsidRPr="00D0179E">
        <w:rPr>
          <w:rStyle w:val="FootnoteReference"/>
        </w:rPr>
        <w:footnoteRef/>
      </w:r>
      <w:r w:rsidRPr="00D0179E">
        <w:t xml:space="preserve"> </w:t>
      </w:r>
      <w:r w:rsidRPr="00D0179E">
        <w:rPr>
          <w:rFonts w:eastAsia="SimSun"/>
        </w:rPr>
        <w:t xml:space="preserve">See, </w:t>
      </w:r>
      <w:r w:rsidRPr="00D0179E">
        <w:rPr>
          <w:lang w:bidi="ar-SA"/>
        </w:rPr>
        <w:t xml:space="preserve">Valentine </w:t>
      </w:r>
      <w:proofErr w:type="spellStart"/>
      <w:r w:rsidRPr="00D0179E">
        <w:rPr>
          <w:lang w:bidi="ar-SA"/>
        </w:rPr>
        <w:t>Korah</w:t>
      </w:r>
      <w:proofErr w:type="spellEnd"/>
      <w:r w:rsidRPr="00D0179E">
        <w:rPr>
          <w:lang w:bidi="ar-SA"/>
        </w:rPr>
        <w:t xml:space="preserve">, </w:t>
      </w:r>
      <w:r w:rsidRPr="00D0179E">
        <w:rPr>
          <w:rFonts w:ascii="Times-Italic" w:hAnsi="Times-Italic" w:cs="Times-Italic"/>
          <w:i/>
          <w:iCs/>
          <w:lang w:bidi="ar-SA"/>
        </w:rPr>
        <w:t>The Interface Between IP</w:t>
      </w:r>
      <w:r w:rsidRPr="00D0179E">
        <w:rPr>
          <w:rFonts w:ascii="Times-Italic" w:eastAsia="SimSun" w:hAnsi="Times-Italic" w:cs="Times-Italic"/>
          <w:i/>
          <w:iCs/>
          <w:lang w:bidi="ar-SA"/>
        </w:rPr>
        <w:t xml:space="preserve"> </w:t>
      </w:r>
      <w:r w:rsidRPr="00D0179E">
        <w:rPr>
          <w:rFonts w:ascii="Times-Italic" w:hAnsi="Times-Italic" w:cs="Times-Italic"/>
          <w:i/>
          <w:iCs/>
          <w:lang w:bidi="ar-SA"/>
        </w:rPr>
        <w:t>and Antitrust: The European Experience</w:t>
      </w:r>
      <w:r w:rsidRPr="00D0179E">
        <w:rPr>
          <w:lang w:bidi="ar-SA"/>
        </w:rPr>
        <w:t>, 69 A</w:t>
      </w:r>
      <w:r w:rsidRPr="00D0179E">
        <w:rPr>
          <w:sz w:val="14"/>
          <w:szCs w:val="14"/>
          <w:lang w:bidi="ar-SA"/>
        </w:rPr>
        <w:t xml:space="preserve">NTITRUST </w:t>
      </w:r>
      <w:r w:rsidRPr="00D0179E">
        <w:rPr>
          <w:lang w:bidi="ar-SA"/>
        </w:rPr>
        <w:t>L. J. 801, 802–08 (2002); Ian</w:t>
      </w:r>
      <w:r w:rsidRPr="00D0179E">
        <w:rPr>
          <w:rFonts w:eastAsia="SimSun"/>
          <w:lang w:bidi="ar-SA"/>
        </w:rPr>
        <w:t xml:space="preserve"> </w:t>
      </w:r>
      <w:r w:rsidRPr="00D0179E">
        <w:rPr>
          <w:lang w:bidi="ar-SA"/>
        </w:rPr>
        <w:t xml:space="preserve">S. Forrester, </w:t>
      </w:r>
      <w:r w:rsidRPr="00D0179E">
        <w:rPr>
          <w:rFonts w:ascii="Times-Italic" w:hAnsi="Times-Italic" w:cs="Times-Italic"/>
          <w:i/>
          <w:iCs/>
          <w:lang w:bidi="ar-SA"/>
        </w:rPr>
        <w:t>European Competition Law and IP</w:t>
      </w:r>
      <w:r w:rsidRPr="00D0179E">
        <w:rPr>
          <w:lang w:bidi="ar-SA"/>
        </w:rPr>
        <w:t>, in proceedings of the Twelfth St</w:t>
      </w:r>
      <w:r w:rsidRPr="00D0179E">
        <w:rPr>
          <w:rFonts w:eastAsia="SimSun"/>
          <w:lang w:bidi="ar-SA"/>
        </w:rPr>
        <w:t xml:space="preserve"> </w:t>
      </w:r>
      <w:proofErr w:type="spellStart"/>
      <w:r w:rsidRPr="00D0179E">
        <w:rPr>
          <w:lang w:bidi="ar-SA"/>
        </w:rPr>
        <w:t>Gallen</w:t>
      </w:r>
      <w:proofErr w:type="spellEnd"/>
      <w:r w:rsidRPr="00D0179E">
        <w:rPr>
          <w:lang w:bidi="ar-SA"/>
        </w:rPr>
        <w:t xml:space="preserve"> International Competition Law Forum, University</w:t>
      </w:r>
      <w:r w:rsidRPr="00D0179E">
        <w:rPr>
          <w:rFonts w:eastAsia="SimSun"/>
          <w:lang w:bidi="ar-SA"/>
        </w:rPr>
        <w:t xml:space="preserve"> </w:t>
      </w:r>
      <w:r w:rsidRPr="00D0179E">
        <w:rPr>
          <w:lang w:bidi="ar-SA"/>
        </w:rPr>
        <w:t xml:space="preserve">of St </w:t>
      </w:r>
      <w:proofErr w:type="spellStart"/>
      <w:r w:rsidRPr="00D0179E">
        <w:rPr>
          <w:lang w:bidi="ar-SA"/>
        </w:rPr>
        <w:t>Gallen</w:t>
      </w:r>
      <w:proofErr w:type="spellEnd"/>
      <w:r w:rsidRPr="00D0179E">
        <w:rPr>
          <w:lang w:bidi="ar-SA"/>
        </w:rPr>
        <w:t xml:space="preserve"> (28–29 April</w:t>
      </w:r>
      <w:r w:rsidRPr="00D0179E">
        <w:rPr>
          <w:rFonts w:eastAsia="SimSun"/>
          <w:lang w:bidi="ar-SA"/>
        </w:rPr>
        <w:t xml:space="preserve"> </w:t>
      </w:r>
      <w:r w:rsidRPr="00D0179E">
        <w:rPr>
          <w:lang w:bidi="ar-SA"/>
        </w:rPr>
        <w:t>2005).</w:t>
      </w:r>
    </w:p>
  </w:footnote>
  <w:footnote w:id="7">
    <w:p w:rsidR="00042091" w:rsidRPr="00A57BDD" w:rsidRDefault="00042091" w:rsidP="00042091">
      <w:pPr>
        <w:pStyle w:val="Footnote"/>
      </w:pPr>
      <w:r w:rsidRPr="00D0179E">
        <w:rPr>
          <w:rStyle w:val="FootnoteReference"/>
        </w:rPr>
        <w:footnoteRef/>
      </w:r>
      <w:r w:rsidRPr="00A57BDD">
        <w:t xml:space="preserve"> </w:t>
      </w:r>
      <w:proofErr w:type="spellStart"/>
      <w:r w:rsidRPr="00A57BDD">
        <w:rPr>
          <w:lang w:bidi="ar-SA"/>
        </w:rPr>
        <w:t>Makan</w:t>
      </w:r>
      <w:proofErr w:type="spellEnd"/>
      <w:r w:rsidRPr="00A57BDD">
        <w:rPr>
          <w:lang w:bidi="ar-SA"/>
        </w:rPr>
        <w:t xml:space="preserve"> </w:t>
      </w:r>
      <w:proofErr w:type="spellStart"/>
      <w:r w:rsidRPr="00A57BDD">
        <w:rPr>
          <w:lang w:bidi="ar-SA"/>
        </w:rPr>
        <w:t>Delrahim</w:t>
      </w:r>
      <w:proofErr w:type="spellEnd"/>
      <w:r w:rsidRPr="00A57BDD">
        <w:rPr>
          <w:rFonts w:eastAsia="SimSun"/>
          <w:lang w:bidi="ar-SA"/>
        </w:rPr>
        <w:t xml:space="preserve">, </w:t>
      </w:r>
      <w:r w:rsidRPr="00A57BDD">
        <w:t>Forcing Firms to Share The Sandbox: Compulsory Licensing of Intellectual Property Rights and Antitrust, Presented at the British Institute of International and Comparative Law London, England, May 10, 2004</w:t>
      </w:r>
      <w:r>
        <w:t>, p. 9.</w:t>
      </w:r>
    </w:p>
  </w:footnote>
  <w:footnote w:id="8">
    <w:p w:rsidR="004117F7" w:rsidRPr="00D0179E" w:rsidRDefault="004117F7" w:rsidP="004117F7">
      <w:pPr>
        <w:pStyle w:val="Footnote"/>
      </w:pPr>
      <w:r w:rsidRPr="00D0179E">
        <w:rPr>
          <w:rStyle w:val="FootnoteReference"/>
          <w:rFonts w:ascii="Times New Roman" w:hAnsi="Times New Roman" w:cs="Times New Roman"/>
          <w:szCs w:val="20"/>
        </w:rPr>
        <w:footnoteRef/>
      </w:r>
      <w:r w:rsidRPr="00D0179E">
        <w:t xml:space="preserve"> </w:t>
      </w:r>
      <w:r w:rsidRPr="00D0179E">
        <w:rPr>
          <w:rFonts w:eastAsia="SimSun"/>
        </w:rPr>
        <w:t xml:space="preserve">US IP Guideline, </w:t>
      </w:r>
      <w:r w:rsidRPr="00D0179E">
        <w:t>OECD</w:t>
      </w:r>
      <w:r w:rsidRPr="00D0179E">
        <w:rPr>
          <w:rStyle w:val="apple-style-span"/>
          <w:rFonts w:ascii="Times New Roman" w:hAnsi="Times New Roman" w:cs="Times New Roman"/>
          <w:szCs w:val="20"/>
          <w:shd w:val="clear" w:color="auto" w:fill="FFFFFF"/>
        </w:rPr>
        <w:t>,</w:t>
      </w:r>
      <w:r w:rsidRPr="00D0179E">
        <w:rPr>
          <w:rStyle w:val="apple-converted-space"/>
          <w:rFonts w:ascii="Times New Roman" w:hAnsi="Times New Roman" w:cs="Times New Roman"/>
          <w:szCs w:val="20"/>
          <w:shd w:val="clear" w:color="auto" w:fill="FFFFFF"/>
        </w:rPr>
        <w:t> </w:t>
      </w:r>
      <w:r w:rsidRPr="00495912">
        <w:rPr>
          <w:rFonts w:ascii="Times New Roman" w:hAnsi="Times New Roman" w:cs="Times New Roman"/>
          <w:iCs/>
          <w:szCs w:val="20"/>
          <w:shd w:val="clear" w:color="auto" w:fill="FFFFFF"/>
        </w:rPr>
        <w:t>Competition Policy and</w:t>
      </w:r>
      <w:r w:rsidRPr="00D0179E">
        <w:rPr>
          <w:rStyle w:val="apple-converted-space"/>
          <w:rFonts w:ascii="Times New Roman" w:hAnsi="Times New Roman" w:cs="Times New Roman"/>
          <w:iCs/>
          <w:color w:val="003399"/>
          <w:szCs w:val="20"/>
          <w:u w:val="single"/>
          <w:shd w:val="clear" w:color="auto" w:fill="FFFFFF"/>
        </w:rPr>
        <w:t> </w:t>
      </w:r>
      <w:r w:rsidRPr="00495912">
        <w:rPr>
          <w:rFonts w:ascii="Times New Roman" w:hAnsi="Times New Roman" w:cs="Times New Roman"/>
          <w:iCs/>
          <w:szCs w:val="20"/>
          <w:shd w:val="clear" w:color="auto" w:fill="FFFFFF"/>
        </w:rPr>
        <w:t>Intellectual Property Rights</w:t>
      </w:r>
      <w:r w:rsidRPr="00D0179E">
        <w:rPr>
          <w:rStyle w:val="apple-style-span"/>
          <w:rFonts w:ascii="Times New Roman" w:hAnsi="Times New Roman" w:cs="Times New Roman"/>
          <w:szCs w:val="20"/>
          <w:shd w:val="clear" w:color="auto" w:fill="FFFFFF"/>
        </w:rPr>
        <w:t>, DAFFK/</w:t>
      </w:r>
      <w:proofErr w:type="gramStart"/>
      <w:r w:rsidRPr="00D0179E">
        <w:rPr>
          <w:rStyle w:val="apple-style-span"/>
          <w:rFonts w:ascii="Times New Roman" w:hAnsi="Times New Roman" w:cs="Times New Roman"/>
          <w:szCs w:val="20"/>
          <w:shd w:val="clear" w:color="auto" w:fill="FFFFFF"/>
        </w:rPr>
        <w:t>CLP(</w:t>
      </w:r>
      <w:proofErr w:type="gramEnd"/>
      <w:r w:rsidRPr="00D0179E">
        <w:rPr>
          <w:rStyle w:val="apple-style-span"/>
          <w:rFonts w:ascii="Times New Roman" w:hAnsi="Times New Roman" w:cs="Times New Roman"/>
          <w:szCs w:val="20"/>
          <w:shd w:val="clear" w:color="auto" w:fill="FFFFFF"/>
        </w:rPr>
        <w:t xml:space="preserve">98)18 (16 Sept. 1998). See also </w:t>
      </w:r>
      <w:r w:rsidRPr="00D0179E">
        <w:t>OECD</w:t>
      </w:r>
      <w:r w:rsidRPr="00D0179E">
        <w:rPr>
          <w:rStyle w:val="apple-style-span"/>
          <w:rFonts w:ascii="Times New Roman" w:hAnsi="Times New Roman" w:cs="Times New Roman"/>
          <w:szCs w:val="20"/>
          <w:shd w:val="clear" w:color="auto" w:fill="FFFFFF"/>
        </w:rPr>
        <w:t>,</w:t>
      </w:r>
      <w:r w:rsidRPr="00D0179E">
        <w:rPr>
          <w:rStyle w:val="apple-converted-space"/>
          <w:rFonts w:ascii="Times New Roman" w:hAnsi="Times New Roman" w:cs="Times New Roman"/>
          <w:szCs w:val="20"/>
          <w:shd w:val="clear" w:color="auto" w:fill="FFFFFF"/>
        </w:rPr>
        <w:t> </w:t>
      </w:r>
      <w:r w:rsidRPr="00D0179E">
        <w:rPr>
          <w:rStyle w:val="Emphasis"/>
          <w:rFonts w:ascii="Times New Roman" w:hAnsi="Times New Roman" w:cs="Times New Roman"/>
          <w:szCs w:val="20"/>
          <w:shd w:val="clear" w:color="auto" w:fill="FFFFFF"/>
        </w:rPr>
        <w:t>Interim Report on Convergence of Competition Policies</w:t>
      </w:r>
      <w:r w:rsidRPr="00D0179E">
        <w:rPr>
          <w:rStyle w:val="apple-style-span"/>
          <w:rFonts w:ascii="Times New Roman" w:hAnsi="Times New Roman" w:cs="Times New Roman"/>
          <w:szCs w:val="20"/>
          <w:shd w:val="clear" w:color="auto" w:fill="FFFFFF"/>
        </w:rPr>
        <w:t>,</w:t>
      </w:r>
      <w:r w:rsidRPr="00D0179E">
        <w:rPr>
          <w:rStyle w:val="apple-converted-space"/>
          <w:rFonts w:ascii="Times New Roman" w:hAnsi="Times New Roman" w:cs="Times New Roman"/>
          <w:szCs w:val="20"/>
          <w:shd w:val="clear" w:color="auto" w:fill="FFFFFF"/>
        </w:rPr>
        <w:t> </w:t>
      </w:r>
      <w:r w:rsidRPr="00D0179E">
        <w:t>OECD</w:t>
      </w:r>
      <w:r w:rsidRPr="00D0179E">
        <w:rPr>
          <w:rStyle w:val="apple-style-span"/>
          <w:rFonts w:ascii="Times New Roman" w:hAnsi="Times New Roman" w:cs="Times New Roman"/>
          <w:szCs w:val="20"/>
          <w:shd w:val="clear" w:color="auto" w:fill="FFFFFF"/>
        </w:rPr>
        <w:t>/GD (94) 64 (June 1994).</w:t>
      </w:r>
    </w:p>
  </w:footnote>
  <w:footnote w:id="9">
    <w:p w:rsidR="004117F7" w:rsidRPr="00D0179E" w:rsidRDefault="004117F7" w:rsidP="004117F7">
      <w:pPr>
        <w:pStyle w:val="Footnote"/>
        <w:rPr>
          <w:rFonts w:eastAsia="SimSun"/>
        </w:rPr>
      </w:pPr>
      <w:r w:rsidRPr="00D0179E">
        <w:rPr>
          <w:rStyle w:val="FootnoteReference"/>
        </w:rPr>
        <w:footnoteRef/>
      </w:r>
      <w:r w:rsidRPr="00D0179E">
        <w:t xml:space="preserve"> </w:t>
      </w:r>
      <w:proofErr w:type="gramStart"/>
      <w:r w:rsidRPr="00D0179E">
        <w:rPr>
          <w:lang w:bidi="ar-SA"/>
        </w:rPr>
        <w:t xml:space="preserve">Richard A. Posner, </w:t>
      </w:r>
      <w:r w:rsidRPr="00D0179E">
        <w:rPr>
          <w:rFonts w:ascii="BookAntiqua,Italic" w:hAnsi="BookAntiqua,Italic" w:cs="BookAntiqua,Italic"/>
          <w:i/>
          <w:iCs/>
          <w:lang w:bidi="ar-SA"/>
        </w:rPr>
        <w:t>Antitrust in the New Economy</w:t>
      </w:r>
      <w:r w:rsidRPr="00D0179E">
        <w:rPr>
          <w:lang w:bidi="ar-SA"/>
        </w:rPr>
        <w:t>, 68</w:t>
      </w:r>
      <w:r w:rsidRPr="00D0179E">
        <w:rPr>
          <w:rFonts w:eastAsia="SimSun"/>
          <w:lang w:bidi="ar-SA"/>
        </w:rPr>
        <w:t xml:space="preserve"> </w:t>
      </w:r>
      <w:r w:rsidRPr="00D0179E">
        <w:rPr>
          <w:lang w:bidi="ar-SA"/>
        </w:rPr>
        <w:t>A</w:t>
      </w:r>
      <w:r w:rsidRPr="00D0179E">
        <w:rPr>
          <w:sz w:val="14"/>
          <w:szCs w:val="14"/>
          <w:lang w:bidi="ar-SA"/>
        </w:rPr>
        <w:t xml:space="preserve">NTITRUST </w:t>
      </w:r>
      <w:r w:rsidRPr="00D0179E">
        <w:rPr>
          <w:lang w:bidi="ar-SA"/>
        </w:rPr>
        <w:t>L.J. 925, 930-31 (2001).</w:t>
      </w:r>
      <w:proofErr w:type="gramEnd"/>
    </w:p>
  </w:footnote>
  <w:footnote w:id="10">
    <w:p w:rsidR="00F45326" w:rsidRPr="00D0179E" w:rsidRDefault="00F45326" w:rsidP="00F45326">
      <w:pPr>
        <w:pStyle w:val="Footnote"/>
      </w:pPr>
      <w:r w:rsidRPr="00D0179E">
        <w:rPr>
          <w:rStyle w:val="FootnoteReference"/>
          <w:rFonts w:cs="Times New Roman"/>
        </w:rPr>
        <w:footnoteRef/>
      </w:r>
      <w:r w:rsidRPr="00D0179E">
        <w:t xml:space="preserve"> </w:t>
      </w:r>
      <w:proofErr w:type="gramStart"/>
      <w:r w:rsidRPr="00D0179E">
        <w:t xml:space="preserve">Bonito Boats, </w:t>
      </w:r>
      <w:proofErr w:type="spellStart"/>
      <w:r w:rsidRPr="00D0179E">
        <w:t>Inc.v</w:t>
      </w:r>
      <w:proofErr w:type="spellEnd"/>
      <w:r w:rsidRPr="00D0179E">
        <w:t>.</w:t>
      </w:r>
      <w:proofErr w:type="gramEnd"/>
      <w:r w:rsidRPr="00D0179E">
        <w:t xml:space="preserve"> </w:t>
      </w:r>
      <w:proofErr w:type="gramStart"/>
      <w:r w:rsidRPr="00D0179E">
        <w:t>Thunder Craft Boats, Inc., 489 US 141 (1989).</w:t>
      </w:r>
      <w:proofErr w:type="gramEnd"/>
    </w:p>
  </w:footnote>
  <w:footnote w:id="11">
    <w:p w:rsidR="001140F0" w:rsidRPr="001140F0" w:rsidRDefault="001140F0">
      <w:pPr>
        <w:pStyle w:val="FootnoteText"/>
        <w:rPr>
          <w:lang w:val="en-GB"/>
        </w:rPr>
      </w:pPr>
      <w:r>
        <w:rPr>
          <w:rStyle w:val="FootnoteReference"/>
        </w:rPr>
        <w:footnoteRef/>
      </w:r>
      <w:r w:rsidRPr="001140F0">
        <w:rPr>
          <w:lang w:val="en-GB"/>
        </w:rPr>
        <w:t xml:space="preserve"> </w:t>
      </w:r>
      <w:r>
        <w:rPr>
          <w:lang w:val="en-GB"/>
        </w:rPr>
        <w:t>See, TRIP</w:t>
      </w:r>
      <w:r w:rsidR="007C0A46">
        <w:rPr>
          <w:lang w:val="en-GB"/>
        </w:rPr>
        <w:t>S Agreement,</w:t>
      </w:r>
      <w:r>
        <w:rPr>
          <w:lang w:val="en-GB"/>
        </w:rPr>
        <w:t xml:space="preserve"> Article 31.</w:t>
      </w:r>
    </w:p>
  </w:footnote>
  <w:footnote w:id="12">
    <w:p w:rsidR="004E2C86" w:rsidRPr="004E6252" w:rsidRDefault="004E2C86" w:rsidP="004E6252">
      <w:pPr>
        <w:pStyle w:val="Footnote"/>
      </w:pPr>
      <w:r>
        <w:rPr>
          <w:rStyle w:val="FootnoteReference"/>
        </w:rPr>
        <w:footnoteRef/>
      </w:r>
      <w:r w:rsidR="001140F0">
        <w:rPr>
          <w:b/>
          <w:bCs/>
          <w:i/>
          <w:iCs/>
        </w:rPr>
        <w:t xml:space="preserve"> </w:t>
      </w:r>
      <w:r w:rsidR="001140F0" w:rsidRPr="001140F0">
        <w:t>Carlos M. Correa</w:t>
      </w:r>
      <w:r w:rsidR="001140F0">
        <w:t xml:space="preserve">, Intellectual Property Rights and the Use of Compulsory Licenses: Options for Developing </w:t>
      </w:r>
      <w:r w:rsidR="001140F0" w:rsidRPr="004E6252">
        <w:t>Countries (1999) South Centre, 3–4</w:t>
      </w:r>
      <w:r w:rsidR="004E6252" w:rsidRPr="004E6252">
        <w:t>.  “The granting of compulsory licenses appeared as a means to mitigate that drastic measure of direct forfeiture. A system of compulsory licenses was adopted in the UK under the Patent Act of 1883 for cases in which the patent was not being worked in the UK, the reasonable requirements of the public were not satisfied, or any person was prevented from working or using an invention (section 22).”</w:t>
      </w:r>
    </w:p>
  </w:footnote>
  <w:footnote w:id="13">
    <w:p w:rsidR="000438CB" w:rsidRPr="00D0179E" w:rsidRDefault="000438CB" w:rsidP="004E2C86">
      <w:pPr>
        <w:pStyle w:val="Footnote"/>
      </w:pPr>
      <w:r w:rsidRPr="00D0179E">
        <w:rPr>
          <w:rStyle w:val="FootnoteReference"/>
        </w:rPr>
        <w:footnoteRef/>
      </w:r>
      <w:r w:rsidRPr="00D0179E">
        <w:t xml:space="preserve"> </w:t>
      </w:r>
      <w:proofErr w:type="gramStart"/>
      <w:r w:rsidRPr="00D0179E">
        <w:t>Article 8.</w:t>
      </w:r>
      <w:proofErr w:type="gramEnd"/>
    </w:p>
  </w:footnote>
  <w:footnote w:id="14">
    <w:p w:rsidR="003A31EA" w:rsidRPr="00D0179E" w:rsidRDefault="003A31EA" w:rsidP="00282243">
      <w:pPr>
        <w:pStyle w:val="Footnote"/>
        <w:rPr>
          <w:rStyle w:val="Hyperlink"/>
          <w:rFonts w:cs="Times New Roman"/>
          <w:color w:val="auto"/>
          <w:u w:val="none"/>
          <w:bdr w:val="none" w:sz="0" w:space="0" w:color="auto" w:frame="1"/>
        </w:rPr>
      </w:pPr>
      <w:r w:rsidRPr="00D0179E">
        <w:rPr>
          <w:rStyle w:val="FootnoteReference"/>
          <w:rFonts w:cs="Times New Roman"/>
        </w:rPr>
        <w:footnoteRef/>
      </w:r>
      <w:r w:rsidRPr="00D0179E">
        <w:t xml:space="preserve"> See, e.g. </w:t>
      </w:r>
      <w:r w:rsidRPr="00D0179E">
        <w:rPr>
          <w:rStyle w:val="Hyperlink"/>
          <w:rFonts w:cs="Times New Roman"/>
          <w:bCs/>
          <w:color w:val="auto"/>
          <w:u w:val="none"/>
          <w:bdr w:val="none" w:sz="0" w:space="0" w:color="auto" w:frame="1"/>
        </w:rPr>
        <w:t>Antitrust, Patents, and Copyright: EU and US Perspectives</w:t>
      </w:r>
      <w:r w:rsidRPr="00D0179E">
        <w:rPr>
          <w:rStyle w:val="Hyperlink"/>
          <w:rFonts w:cs="Times New Roman"/>
          <w:color w:val="auto"/>
          <w:u w:val="none"/>
          <w:bdr w:val="none" w:sz="0" w:space="0" w:color="auto" w:frame="1"/>
        </w:rPr>
        <w:t xml:space="preserve">, Francois </w:t>
      </w:r>
      <w:proofErr w:type="spellStart"/>
      <w:r w:rsidRPr="00D0179E">
        <w:rPr>
          <w:rStyle w:val="Hyperlink"/>
          <w:rFonts w:cs="Times New Roman"/>
          <w:color w:val="auto"/>
          <w:u w:val="none"/>
          <w:bdr w:val="none" w:sz="0" w:space="0" w:color="auto" w:frame="1"/>
        </w:rPr>
        <w:t>Lévêque</w:t>
      </w:r>
      <w:proofErr w:type="spellEnd"/>
      <w:r w:rsidRPr="00D0179E">
        <w:rPr>
          <w:rStyle w:val="Hyperlink"/>
          <w:rFonts w:cs="Times New Roman"/>
          <w:color w:val="auto"/>
          <w:u w:val="none"/>
          <w:bdr w:val="none" w:sz="0" w:space="0" w:color="auto" w:frame="1"/>
        </w:rPr>
        <w:t xml:space="preserve"> and Howard </w:t>
      </w:r>
      <w:proofErr w:type="spellStart"/>
      <w:r w:rsidRPr="00D0179E">
        <w:rPr>
          <w:rStyle w:val="Hyperlink"/>
          <w:rFonts w:cs="Times New Roman"/>
          <w:color w:val="auto"/>
          <w:u w:val="none"/>
          <w:bdr w:val="none" w:sz="0" w:space="0" w:color="auto" w:frame="1"/>
        </w:rPr>
        <w:t>Shelanski</w:t>
      </w:r>
      <w:proofErr w:type="spellEnd"/>
      <w:r w:rsidRPr="00D0179E">
        <w:rPr>
          <w:rStyle w:val="Hyperlink"/>
          <w:rFonts w:cs="Times New Roman"/>
          <w:color w:val="auto"/>
          <w:u w:val="none"/>
          <w:bdr w:val="none" w:sz="0" w:space="0" w:color="auto" w:frame="1"/>
        </w:rPr>
        <w:t xml:space="preserve"> (</w:t>
      </w:r>
      <w:proofErr w:type="spellStart"/>
      <w:proofErr w:type="gramStart"/>
      <w:r w:rsidRPr="00D0179E">
        <w:rPr>
          <w:rStyle w:val="Hyperlink"/>
          <w:rFonts w:cs="Times New Roman"/>
          <w:color w:val="auto"/>
          <w:u w:val="none"/>
          <w:bdr w:val="none" w:sz="0" w:space="0" w:color="auto" w:frame="1"/>
        </w:rPr>
        <w:t>eds</w:t>
      </w:r>
      <w:proofErr w:type="spellEnd"/>
      <w:proofErr w:type="gramEnd"/>
      <w:r w:rsidRPr="00D0179E">
        <w:rPr>
          <w:rStyle w:val="Hyperlink"/>
          <w:rFonts w:cs="Times New Roman"/>
          <w:color w:val="auto"/>
          <w:u w:val="none"/>
          <w:bdr w:val="none" w:sz="0" w:space="0" w:color="auto" w:frame="1"/>
        </w:rPr>
        <w:t>). (2005).</w:t>
      </w:r>
    </w:p>
  </w:footnote>
  <w:footnote w:id="15">
    <w:p w:rsidR="003A31EA" w:rsidRPr="00D0179E" w:rsidRDefault="003A31EA" w:rsidP="00282243">
      <w:pPr>
        <w:pStyle w:val="Footnote"/>
        <w:rPr>
          <w:rStyle w:val="Hyperlink"/>
          <w:rFonts w:cs="Times New Roman"/>
          <w:color w:val="auto"/>
          <w:u w:val="none"/>
        </w:rPr>
      </w:pPr>
      <w:r w:rsidRPr="00D0179E">
        <w:rPr>
          <w:rStyle w:val="FootnoteReference"/>
          <w:rFonts w:cs="Times New Roman"/>
        </w:rPr>
        <w:footnoteRef/>
      </w:r>
      <w:r w:rsidRPr="00D0179E">
        <w:t xml:space="preserve"> </w:t>
      </w:r>
      <w:r w:rsidRPr="00D0179E">
        <w:rPr>
          <w:rStyle w:val="Hyperlink"/>
          <w:rFonts w:cs="Times New Roman"/>
          <w:color w:val="auto"/>
          <w:u w:val="none"/>
        </w:rPr>
        <w:t xml:space="preserve">See, </w:t>
      </w:r>
      <w:proofErr w:type="spellStart"/>
      <w:r w:rsidRPr="00D0179E">
        <w:rPr>
          <w:rStyle w:val="Hyperlink"/>
          <w:rFonts w:cs="Times New Roman"/>
          <w:color w:val="auto"/>
          <w:u w:val="none"/>
        </w:rPr>
        <w:t>Landes</w:t>
      </w:r>
      <w:proofErr w:type="spellEnd"/>
      <w:r w:rsidRPr="00D0179E">
        <w:rPr>
          <w:rStyle w:val="Hyperlink"/>
          <w:rFonts w:cs="Times New Roman"/>
          <w:color w:val="auto"/>
          <w:u w:val="none"/>
        </w:rPr>
        <w:t xml:space="preserve"> &amp; Posner, Trademark Law: An Economic Perspective, 30 J.L. &amp; </w:t>
      </w:r>
      <w:proofErr w:type="spellStart"/>
      <w:r w:rsidRPr="00D0179E">
        <w:rPr>
          <w:rStyle w:val="Hyperlink"/>
          <w:rFonts w:cs="Times New Roman"/>
          <w:color w:val="auto"/>
          <w:u w:val="none"/>
        </w:rPr>
        <w:t>EcoN</w:t>
      </w:r>
      <w:proofErr w:type="spellEnd"/>
      <w:r w:rsidRPr="00D0179E">
        <w:rPr>
          <w:rStyle w:val="Hyperlink"/>
          <w:rFonts w:cs="Times New Roman"/>
          <w:color w:val="auto"/>
          <w:u w:val="none"/>
        </w:rPr>
        <w:t xml:space="preserve">. </w:t>
      </w:r>
      <w:proofErr w:type="gramStart"/>
      <w:r w:rsidRPr="00D0179E">
        <w:rPr>
          <w:rStyle w:val="Hyperlink"/>
          <w:rFonts w:cs="Times New Roman"/>
          <w:color w:val="auto"/>
          <w:u w:val="none"/>
        </w:rPr>
        <w:t>265, 268-70 (1987).</w:t>
      </w:r>
      <w:proofErr w:type="gramEnd"/>
    </w:p>
  </w:footnote>
  <w:footnote w:id="16">
    <w:p w:rsidR="003A31EA" w:rsidRPr="00D0179E" w:rsidRDefault="003A31EA" w:rsidP="00282243">
      <w:pPr>
        <w:pStyle w:val="Footnote"/>
        <w:rPr>
          <w:rFonts w:eastAsia="SimSun"/>
        </w:rPr>
      </w:pPr>
      <w:r w:rsidRPr="00D0179E">
        <w:rPr>
          <w:rStyle w:val="FootnoteReference"/>
          <w:rFonts w:cs="Times New Roman"/>
        </w:rPr>
        <w:footnoteRef/>
      </w:r>
      <w:r w:rsidRPr="00D0179E">
        <w:t xml:space="preserve"> </w:t>
      </w:r>
      <w:r w:rsidRPr="00D0179E">
        <w:rPr>
          <w:rFonts w:eastAsia="SimSun"/>
          <w:iCs/>
          <w:szCs w:val="20"/>
        </w:rPr>
        <w:t>S</w:t>
      </w:r>
      <w:r w:rsidRPr="00D0179E">
        <w:rPr>
          <w:iCs/>
          <w:szCs w:val="20"/>
        </w:rPr>
        <w:t>ee</w:t>
      </w:r>
      <w:r w:rsidRPr="00D0179E">
        <w:rPr>
          <w:rFonts w:eastAsia="SimSun"/>
          <w:iCs/>
          <w:szCs w:val="20"/>
        </w:rPr>
        <w:t>,</w:t>
      </w:r>
      <w:r w:rsidRPr="00D0179E">
        <w:rPr>
          <w:iCs/>
          <w:szCs w:val="20"/>
        </w:rPr>
        <w:t xml:space="preserve"> </w:t>
      </w:r>
      <w:r w:rsidRPr="00D0179E">
        <w:rPr>
          <w:szCs w:val="20"/>
        </w:rPr>
        <w:t>Case C-206/01</w:t>
      </w:r>
      <w:r w:rsidRPr="00D0179E">
        <w:rPr>
          <w:rFonts w:eastAsia="SimSun"/>
          <w:szCs w:val="20"/>
        </w:rPr>
        <w:t xml:space="preserve"> </w:t>
      </w:r>
      <w:r w:rsidRPr="00D0179E">
        <w:rPr>
          <w:i/>
          <w:iCs/>
          <w:szCs w:val="20"/>
        </w:rPr>
        <w:t>Arsenal FC v Reed</w:t>
      </w:r>
      <w:r w:rsidRPr="00D0179E">
        <w:rPr>
          <w:szCs w:val="20"/>
        </w:rPr>
        <w:t xml:space="preserve"> [2002] E.C.R. I-10273, ECJ, para. 48.</w:t>
      </w:r>
    </w:p>
  </w:footnote>
  <w:footnote w:id="17">
    <w:p w:rsidR="003A31EA" w:rsidRPr="00D0179E" w:rsidRDefault="003A31EA" w:rsidP="00282243">
      <w:pPr>
        <w:pStyle w:val="Footnote"/>
        <w:rPr>
          <w:rFonts w:eastAsia="SimSun"/>
        </w:rPr>
      </w:pPr>
      <w:r w:rsidRPr="00D0179E">
        <w:rPr>
          <w:rStyle w:val="FootnoteReference"/>
          <w:rFonts w:cs="Times New Roman"/>
        </w:rPr>
        <w:footnoteRef/>
      </w:r>
      <w:r w:rsidRPr="00D0179E">
        <w:t xml:space="preserve"> </w:t>
      </w:r>
      <w:proofErr w:type="gramStart"/>
      <w:r w:rsidRPr="00D0179E">
        <w:rPr>
          <w:rStyle w:val="Hyperlink"/>
          <w:rFonts w:cs="Times New Roman"/>
          <w:color w:val="auto"/>
          <w:u w:val="none"/>
        </w:rPr>
        <w:t>Park 'N Fly, Inc. v. Dollar Park 'N Fly, Inc., 469 U.S. 189, 198 (1985).</w:t>
      </w:r>
      <w:proofErr w:type="gramEnd"/>
    </w:p>
  </w:footnote>
  <w:footnote w:id="18">
    <w:p w:rsidR="003A31EA" w:rsidRPr="00D0179E" w:rsidRDefault="003A31EA" w:rsidP="00282243">
      <w:pPr>
        <w:pStyle w:val="Footnote"/>
        <w:rPr>
          <w:rStyle w:val="Hyperlink"/>
          <w:rFonts w:cs="Times New Roman"/>
          <w:color w:val="auto"/>
          <w:u w:val="none"/>
          <w:bdr w:val="none" w:sz="0" w:space="0" w:color="auto" w:frame="1"/>
        </w:rPr>
      </w:pPr>
      <w:r w:rsidRPr="00D0179E">
        <w:rPr>
          <w:rStyle w:val="Hyperlink"/>
          <w:rFonts w:cs="Times New Roman"/>
          <w:color w:val="auto"/>
          <w:u w:val="none"/>
          <w:bdr w:val="none" w:sz="0" w:space="0" w:color="auto" w:frame="1"/>
          <w:vertAlign w:val="superscript"/>
        </w:rPr>
        <w:footnoteRef/>
      </w:r>
      <w:r w:rsidRPr="00D0179E">
        <w:rPr>
          <w:rStyle w:val="Hyperlink"/>
          <w:rFonts w:cs="Times New Roman"/>
          <w:color w:val="auto"/>
          <w:u w:val="none"/>
          <w:bdr w:val="none" w:sz="0" w:space="0" w:color="auto" w:frame="1"/>
        </w:rPr>
        <w:t xml:space="preserve"> </w:t>
      </w:r>
      <w:proofErr w:type="gramStart"/>
      <w:r w:rsidRPr="00D0179E">
        <w:rPr>
          <w:rStyle w:val="Hyperlink"/>
          <w:rFonts w:cs="Times New Roman"/>
          <w:color w:val="auto"/>
          <w:u w:val="none"/>
          <w:bdr w:val="none" w:sz="0" w:space="0" w:color="auto" w:frame="1"/>
        </w:rPr>
        <w:t>U.S. </w:t>
      </w:r>
      <w:hyperlink r:id="rId3" w:tooltip="Department of Justice" w:history="1">
        <w:r w:rsidRPr="00D0179E">
          <w:rPr>
            <w:rStyle w:val="Hyperlink"/>
            <w:rFonts w:cs="Times New Roman"/>
            <w:color w:val="auto"/>
            <w:u w:val="none"/>
            <w:bdr w:val="none" w:sz="0" w:space="0" w:color="auto" w:frame="1"/>
          </w:rPr>
          <w:t>Department of Justice</w:t>
        </w:r>
      </w:hyperlink>
      <w:r w:rsidRPr="00D0179E">
        <w:rPr>
          <w:rStyle w:val="Hyperlink"/>
          <w:rFonts w:cs="Times New Roman"/>
          <w:color w:val="auto"/>
          <w:u w:val="none"/>
          <w:bdr w:val="none" w:sz="0" w:space="0" w:color="auto" w:frame="1"/>
        </w:rPr>
        <w:t> &amp; </w:t>
      </w:r>
      <w:hyperlink r:id="rId4" w:tooltip="Federal Trade Commission" w:history="1">
        <w:r w:rsidRPr="00D0179E">
          <w:rPr>
            <w:rStyle w:val="Hyperlink"/>
            <w:rFonts w:cs="Times New Roman"/>
            <w:color w:val="auto"/>
            <w:u w:val="none"/>
            <w:bdr w:val="none" w:sz="0" w:space="0" w:color="auto" w:frame="1"/>
          </w:rPr>
          <w:t>Federal Trade Commission</w:t>
        </w:r>
      </w:hyperlink>
      <w:r w:rsidRPr="00D0179E">
        <w:rPr>
          <w:rStyle w:val="Hyperlink"/>
          <w:rFonts w:cs="Times New Roman"/>
          <w:color w:val="auto"/>
          <w:u w:val="none"/>
          <w:bdr w:val="none" w:sz="0" w:space="0" w:color="auto" w:frame="1"/>
        </w:rPr>
        <w:t>, Antitrust Guidelines for the Licensing of</w:t>
      </w:r>
      <w:r w:rsidRPr="00D0179E">
        <w:rPr>
          <w:rStyle w:val="Hyperlink"/>
          <w:rFonts w:cs="Times New Roman"/>
          <w:color w:val="auto"/>
          <w:u w:val="none"/>
        </w:rPr>
        <w:t xml:space="preserve"> Intellectual Property</w:t>
      </w:r>
      <w:r w:rsidRPr="00D0179E">
        <w:rPr>
          <w:rStyle w:val="Hyperlink"/>
          <w:rFonts w:cs="Times New Roman"/>
          <w:color w:val="auto"/>
          <w:u w:val="none"/>
          <w:bdr w:val="none" w:sz="0" w:space="0" w:color="auto" w:frame="1"/>
        </w:rPr>
        <w:t> (Apr. 6, 1995), fn.</w:t>
      </w:r>
      <w:r w:rsidRPr="00D0179E">
        <w:rPr>
          <w:rStyle w:val="Hyperlink"/>
          <w:rFonts w:eastAsia="SimSun" w:cs="Times New Roman"/>
          <w:color w:val="auto"/>
          <w:u w:val="none"/>
          <w:bdr w:val="none" w:sz="0" w:space="0" w:color="auto" w:frame="1"/>
        </w:rPr>
        <w:t>2</w:t>
      </w:r>
      <w:r w:rsidRPr="00D0179E">
        <w:rPr>
          <w:rStyle w:val="Hyperlink"/>
          <w:rFonts w:cs="Times New Roman"/>
          <w:color w:val="auto"/>
          <w:u w:val="none"/>
          <w:bdr w:val="none" w:sz="0" w:space="0" w:color="auto" w:frame="1"/>
        </w:rPr>
        <w:t>.</w:t>
      </w:r>
      <w:proofErr w:type="gramEnd"/>
      <w:r w:rsidRPr="00D0179E">
        <w:rPr>
          <w:rStyle w:val="Hyperlink"/>
          <w:rFonts w:cs="Times New Roman"/>
          <w:color w:val="auto"/>
          <w:u w:val="none"/>
          <w:bdr w:val="none" w:sz="0" w:space="0" w:color="auto" w:frame="1"/>
        </w:rPr>
        <w:t xml:space="preserve"> </w:t>
      </w:r>
    </w:p>
  </w:footnote>
  <w:footnote w:id="19">
    <w:p w:rsidR="0096625E" w:rsidRPr="00D0179E" w:rsidRDefault="0096625E" w:rsidP="0096625E">
      <w:pPr>
        <w:pStyle w:val="Footnote"/>
      </w:pPr>
      <w:r w:rsidRPr="00D0179E">
        <w:rPr>
          <w:rStyle w:val="FootnoteReference"/>
        </w:rPr>
        <w:footnoteRef/>
      </w:r>
      <w:r w:rsidRPr="00D0179E">
        <w:t xml:space="preserve"> </w:t>
      </w:r>
      <w:proofErr w:type="gramStart"/>
      <w:r w:rsidRPr="00D0179E">
        <w:t xml:space="preserve">Case 238/87, </w:t>
      </w:r>
      <w:r w:rsidRPr="00D0179E">
        <w:rPr>
          <w:i/>
        </w:rPr>
        <w:t xml:space="preserve">AB Volvo v. Erik </w:t>
      </w:r>
      <w:proofErr w:type="spellStart"/>
      <w:r w:rsidRPr="00D0179E">
        <w:rPr>
          <w:i/>
        </w:rPr>
        <w:t>Veng</w:t>
      </w:r>
      <w:proofErr w:type="spellEnd"/>
      <w:r w:rsidRPr="00D0179E">
        <w:rPr>
          <w:i/>
        </w:rPr>
        <w:t>,</w:t>
      </w:r>
      <w:r w:rsidRPr="00D0179E">
        <w:t xml:space="preserve"> [1989] 4 CMLR 122.</w:t>
      </w:r>
      <w:proofErr w:type="gramEnd"/>
      <w:r w:rsidRPr="00D0179E">
        <w:t xml:space="preserve"> </w:t>
      </w:r>
    </w:p>
  </w:footnote>
  <w:footnote w:id="20">
    <w:p w:rsidR="00A14E85" w:rsidRPr="00D0179E" w:rsidRDefault="00A14E85" w:rsidP="00A14E85">
      <w:pPr>
        <w:pStyle w:val="Footnote"/>
        <w:rPr>
          <w:rFonts w:eastAsia="SimSun"/>
        </w:rPr>
      </w:pPr>
      <w:r w:rsidRPr="00D0179E">
        <w:rPr>
          <w:rStyle w:val="FootnoteReference"/>
          <w:rFonts w:ascii="Times New Roman" w:hAnsi="Times New Roman" w:cs="Times New Roman"/>
        </w:rPr>
        <w:footnoteRef/>
      </w:r>
      <w:r w:rsidRPr="00D0179E">
        <w:t xml:space="preserve"> </w:t>
      </w:r>
      <w:r w:rsidRPr="00D0179E">
        <w:rPr>
          <w:bCs/>
        </w:rPr>
        <w:t xml:space="preserve">Joined cases C-241/91 P and C-242/91 P, </w:t>
      </w:r>
      <w:r w:rsidRPr="00D0179E">
        <w:rPr>
          <w:bCs/>
          <w:i/>
          <w:iCs/>
        </w:rPr>
        <w:t xml:space="preserve">Radio </w:t>
      </w:r>
      <w:proofErr w:type="spellStart"/>
      <w:r w:rsidRPr="00D0179E">
        <w:rPr>
          <w:bCs/>
          <w:i/>
          <w:iCs/>
        </w:rPr>
        <w:t>Telefis</w:t>
      </w:r>
      <w:proofErr w:type="spellEnd"/>
      <w:r w:rsidRPr="00D0179E">
        <w:rPr>
          <w:bCs/>
          <w:i/>
          <w:iCs/>
        </w:rPr>
        <w:t xml:space="preserve"> </w:t>
      </w:r>
      <w:proofErr w:type="spellStart"/>
      <w:r w:rsidRPr="00D0179E">
        <w:rPr>
          <w:bCs/>
          <w:i/>
          <w:iCs/>
        </w:rPr>
        <w:t>Eireann</w:t>
      </w:r>
      <w:proofErr w:type="spellEnd"/>
      <w:r w:rsidRPr="00D0179E">
        <w:rPr>
          <w:bCs/>
          <w:i/>
          <w:iCs/>
        </w:rPr>
        <w:t xml:space="preserve"> (RTE) and Independent Television Publications Ltd (ITP) v Commission of the European Communities </w:t>
      </w:r>
      <w:r w:rsidRPr="00D0179E">
        <w:rPr>
          <w:bCs/>
        </w:rPr>
        <w:t>(“</w:t>
      </w:r>
      <w:r w:rsidRPr="00D0179E">
        <w:rPr>
          <w:bCs/>
          <w:i/>
          <w:iCs/>
        </w:rPr>
        <w:t>Magill</w:t>
      </w:r>
      <w:r w:rsidRPr="00D0179E">
        <w:rPr>
          <w:bCs/>
        </w:rPr>
        <w:t>”), [1995] ECR I-743</w:t>
      </w:r>
      <w:r w:rsidRPr="00D0179E">
        <w:rPr>
          <w:rFonts w:eastAsia="SimSun"/>
          <w:bCs/>
        </w:rPr>
        <w:t>.</w:t>
      </w:r>
    </w:p>
  </w:footnote>
  <w:footnote w:id="21">
    <w:p w:rsidR="00A14E85" w:rsidRPr="00D0179E" w:rsidRDefault="00A14E85" w:rsidP="00A14E85">
      <w:pPr>
        <w:pStyle w:val="Footnote"/>
        <w:rPr>
          <w:rFonts w:eastAsia="SimSun"/>
        </w:rPr>
      </w:pPr>
      <w:r w:rsidRPr="00D0179E">
        <w:rPr>
          <w:rStyle w:val="FootnoteReference"/>
          <w:rFonts w:cs="Times New Roman"/>
        </w:rPr>
        <w:footnoteRef/>
      </w:r>
      <w:r w:rsidRPr="00D0179E">
        <w:t xml:space="preserve"> </w:t>
      </w:r>
      <w:proofErr w:type="gramStart"/>
      <w:r w:rsidRPr="00D0179E">
        <w:t xml:space="preserve">Case C-418/01, </w:t>
      </w:r>
      <w:r w:rsidRPr="00D0179E">
        <w:rPr>
          <w:i/>
          <w:iCs/>
        </w:rPr>
        <w:t xml:space="preserve">IMS </w:t>
      </w:r>
      <w:r w:rsidRPr="00D0179E">
        <w:rPr>
          <w:bCs/>
          <w:i/>
          <w:iCs/>
        </w:rPr>
        <w:t>Health</w:t>
      </w:r>
      <w:r w:rsidRPr="00D0179E">
        <w:rPr>
          <w:i/>
          <w:iCs/>
        </w:rPr>
        <w:t xml:space="preserve"> GmbH &amp; Co. OHG v NDC Health GmbH &amp; Co. KG</w:t>
      </w:r>
      <w:r w:rsidRPr="00D0179E">
        <w:t>.</w:t>
      </w:r>
      <w:proofErr w:type="gramEnd"/>
      <w:r w:rsidRPr="00D0179E">
        <w:t xml:space="preserve"> </w:t>
      </w:r>
      <w:proofErr w:type="gramStart"/>
      <w:r w:rsidRPr="00D0179E">
        <w:t>[2004] ECR I-5039.</w:t>
      </w:r>
      <w:proofErr w:type="gramEnd"/>
      <w:r w:rsidRPr="00D0179E">
        <w:rPr>
          <w:rFonts w:eastAsia="SimSun"/>
        </w:rPr>
        <w:t xml:space="preserve"> A</w:t>
      </w:r>
      <w:r w:rsidRPr="00D0179E">
        <w:t xml:space="preserve">n Article 234 reference from the </w:t>
      </w:r>
      <w:proofErr w:type="spellStart"/>
      <w:r w:rsidRPr="00D0179E">
        <w:t>Landgericht</w:t>
      </w:r>
      <w:proofErr w:type="spellEnd"/>
      <w:r w:rsidRPr="00D0179E">
        <w:t xml:space="preserve"> Frankfurt </w:t>
      </w:r>
      <w:proofErr w:type="gramStart"/>
      <w:r w:rsidRPr="00D0179E">
        <w:t>am</w:t>
      </w:r>
      <w:proofErr w:type="gramEnd"/>
      <w:r w:rsidRPr="00D0179E">
        <w:t xml:space="preserve"> Main (Germany)</w:t>
      </w:r>
      <w:r w:rsidRPr="00D0179E">
        <w:rPr>
          <w:rFonts w:eastAsia="SimSun"/>
        </w:rPr>
        <w:t xml:space="preserve">. </w:t>
      </w:r>
      <w:r w:rsidRPr="00D0179E">
        <w:t xml:space="preserve">IMS Health is a market research company providing data reports to pharmaceutical companies in Germany. It set up an 1860 brick structure for its reports. In 2000, IMS Health complained to a court that two competitors infringed its copyright by using the 1860 brick structure. </w:t>
      </w:r>
    </w:p>
  </w:footnote>
  <w:footnote w:id="22">
    <w:p w:rsidR="00A14E85" w:rsidRPr="00D0179E" w:rsidRDefault="00A14E85" w:rsidP="00A14E85">
      <w:pPr>
        <w:pStyle w:val="Footnote"/>
      </w:pPr>
      <w:r w:rsidRPr="00D0179E">
        <w:rPr>
          <w:rStyle w:val="FootnoteReference"/>
          <w:rFonts w:ascii="Times New Roman" w:hAnsi="Times New Roman" w:cs="Times New Roman"/>
        </w:rPr>
        <w:footnoteRef/>
      </w:r>
      <w:r w:rsidRPr="00D0179E">
        <w:t xml:space="preserve"> Case COMP/C-3/37.792 — Microsoft, Commission Decision, available at: </w:t>
      </w:r>
      <w:hyperlink r:id="rId5" w:history="1">
        <w:r w:rsidRPr="00D0179E">
          <w:rPr>
            <w:rStyle w:val="Hyperlink"/>
          </w:rPr>
          <w:t>http://eur-lex.europa.eu/LexUriServ/LexUriServ.do?uri=CELEX:62004TJ0201:EN:PDF</w:t>
        </w:r>
      </w:hyperlink>
      <w:r w:rsidRPr="00D0179E">
        <w:t>; Case T-201/04, Microsoft Corp. v Commission of the European Communities, [2007] Page II-03601.</w:t>
      </w:r>
    </w:p>
  </w:footnote>
  <w:footnote w:id="23">
    <w:p w:rsidR="00215BE9" w:rsidRPr="00D0179E" w:rsidRDefault="00215BE9" w:rsidP="001413C9">
      <w:pPr>
        <w:pStyle w:val="Footnote"/>
        <w:rPr>
          <w:rFonts w:eastAsia="SimSun" w:cs="Times New Roman"/>
        </w:rPr>
      </w:pPr>
      <w:r w:rsidRPr="00D0179E">
        <w:rPr>
          <w:rStyle w:val="FootnoteReference"/>
        </w:rPr>
        <w:footnoteRef/>
      </w:r>
      <w:r w:rsidRPr="00D0179E">
        <w:t xml:space="preserve"> </w:t>
      </w:r>
      <w:r w:rsidR="001413C9" w:rsidRPr="00D0179E">
        <w:rPr>
          <w:rFonts w:eastAsia="SimSun"/>
        </w:rPr>
        <w:t>Article 82 Application Guidance,</w:t>
      </w:r>
      <w:r w:rsidR="001413C9" w:rsidRPr="00D0179E">
        <w:t xml:space="preserve"> Guidance on the Commission's enforcement priorities in applying Article 82 of the EC Treaty to abusive exclusionary conduct by dominant undertakings,</w:t>
      </w:r>
      <w:r w:rsidR="001413C9" w:rsidRPr="00D0179E">
        <w:rPr>
          <w:rFonts w:eastAsia="SimSun"/>
        </w:rPr>
        <w:t xml:space="preserve"> </w:t>
      </w:r>
      <w:r w:rsidR="001413C9" w:rsidRPr="00D0179E">
        <w:rPr>
          <w:i/>
          <w:iCs/>
        </w:rPr>
        <w:t xml:space="preserve">OJ C 45, 24.2.2009, </w:t>
      </w:r>
      <w:r w:rsidR="001413C9" w:rsidRPr="00D0179E">
        <w:rPr>
          <w:iCs/>
        </w:rPr>
        <w:t>p. 7–20</w:t>
      </w:r>
      <w:r w:rsidR="001413C9" w:rsidRPr="00D0179E">
        <w:rPr>
          <w:rFonts w:eastAsia="SimSun"/>
          <w:iCs/>
        </w:rPr>
        <w:t xml:space="preserve">. </w:t>
      </w:r>
      <w:r w:rsidR="001413C9" w:rsidRPr="00D0179E">
        <w:rPr>
          <w:rFonts w:eastAsia="SimSun"/>
          <w:lang w:bidi="ar-SA"/>
        </w:rPr>
        <w:t xml:space="preserve">The Article 82 Application Guidance reveals </w:t>
      </w:r>
      <w:r w:rsidR="001413C9" w:rsidRPr="00D0179E">
        <w:rPr>
          <w:lang w:bidi="ar-SA"/>
        </w:rPr>
        <w:t xml:space="preserve">that the </w:t>
      </w:r>
      <w:r w:rsidR="001413C9" w:rsidRPr="00D0179E">
        <w:rPr>
          <w:rFonts w:eastAsia="SimSun"/>
          <w:lang w:bidi="ar-SA"/>
        </w:rPr>
        <w:t xml:space="preserve">Commission </w:t>
      </w:r>
      <w:r w:rsidR="001413C9" w:rsidRPr="00D0179E">
        <w:rPr>
          <w:lang w:bidi="ar-SA"/>
        </w:rPr>
        <w:t xml:space="preserve">seemingly </w:t>
      </w:r>
      <w:r w:rsidR="001413C9" w:rsidRPr="00D0179E">
        <w:rPr>
          <w:rFonts w:eastAsia="SimSun"/>
          <w:lang w:bidi="ar-SA"/>
        </w:rPr>
        <w:t xml:space="preserve">does not </w:t>
      </w:r>
      <w:r w:rsidR="001413C9" w:rsidRPr="00D0179E">
        <w:rPr>
          <w:lang w:bidi="ar-SA"/>
        </w:rPr>
        <w:t>wish to make a distinction between intellectual property and</w:t>
      </w:r>
      <w:r w:rsidR="001413C9" w:rsidRPr="00D0179E">
        <w:rPr>
          <w:rFonts w:eastAsia="SimSun"/>
          <w:lang w:bidi="ar-SA"/>
        </w:rPr>
        <w:t xml:space="preserve"> </w:t>
      </w:r>
      <w:r w:rsidR="001413C9" w:rsidRPr="00D0179E">
        <w:rPr>
          <w:lang w:bidi="ar-SA"/>
        </w:rPr>
        <w:t>other forms of property</w:t>
      </w:r>
      <w:r w:rsidR="001413C9" w:rsidRPr="00D0179E">
        <w:rPr>
          <w:rFonts w:eastAsia="SimSun"/>
          <w:lang w:bidi="ar-SA"/>
        </w:rPr>
        <w:t xml:space="preserve"> with regards to the obligation to supply of dominant firms. Refusals to license are categorized under the refusals to supply which</w:t>
      </w:r>
      <w:r w:rsidR="001413C9" w:rsidRPr="00D0179E">
        <w:rPr>
          <w:rFonts w:eastAsia="SimSun" w:cs="Times New Roman"/>
        </w:rPr>
        <w:t xml:space="preserve"> would constitute abuse of dominant position under Article 102 if the following circumstances are present, 1) the refusal relates to a product or service that is objectively necessary to be able to compete effectively on a downstream market, 2) the refusal is likely to lead to the elimination of effective competition on the downstream market, and 3) the refusal is likely to lead to consumer harm. (para. 81)</w:t>
      </w:r>
    </w:p>
  </w:footnote>
  <w:footnote w:id="24">
    <w:p w:rsidR="0021627A" w:rsidRPr="00D0179E" w:rsidRDefault="0021627A" w:rsidP="0021627A">
      <w:pPr>
        <w:pStyle w:val="Footnote"/>
      </w:pPr>
      <w:r w:rsidRPr="00D0179E">
        <w:rPr>
          <w:rStyle w:val="FootnoteReference"/>
          <w:rFonts w:cs="Times New Roman"/>
        </w:rPr>
        <w:footnoteRef/>
      </w:r>
      <w:r w:rsidRPr="00D0179E">
        <w:t xml:space="preserve"> </w:t>
      </w:r>
      <w:r w:rsidRPr="00D0179E">
        <w:rPr>
          <w:rFonts w:eastAsia="SimSun"/>
        </w:rPr>
        <w:t xml:space="preserve">Magill, </w:t>
      </w:r>
      <w:r w:rsidRPr="00D0179E">
        <w:rPr>
          <w:bCs/>
        </w:rPr>
        <w:t xml:space="preserve">Para. </w:t>
      </w:r>
      <w:proofErr w:type="gramStart"/>
      <w:r w:rsidRPr="00D0179E">
        <w:rPr>
          <w:bCs/>
        </w:rPr>
        <w:t>2 of Grounds.</w:t>
      </w:r>
      <w:proofErr w:type="gramEnd"/>
    </w:p>
  </w:footnote>
  <w:footnote w:id="25">
    <w:p w:rsidR="0043456D" w:rsidRPr="00D0179E" w:rsidRDefault="0043456D" w:rsidP="0043456D">
      <w:pPr>
        <w:pStyle w:val="Footnote"/>
        <w:rPr>
          <w:rFonts w:eastAsia="SimSun"/>
        </w:rPr>
      </w:pPr>
      <w:r w:rsidRPr="00D0179E">
        <w:rPr>
          <w:rStyle w:val="FootnoteReference"/>
        </w:rPr>
        <w:footnoteRef/>
      </w:r>
      <w:r w:rsidRPr="00D0179E">
        <w:t xml:space="preserve"> </w:t>
      </w:r>
      <w:proofErr w:type="gramStart"/>
      <w:r w:rsidRPr="00D0179E">
        <w:rPr>
          <w:rFonts w:eastAsia="SimSun"/>
        </w:rPr>
        <w:t>Magill, para 54.</w:t>
      </w:r>
      <w:proofErr w:type="gramEnd"/>
      <w:r w:rsidRPr="00D0179E">
        <w:rPr>
          <w:rFonts w:eastAsia="SimSun"/>
        </w:rPr>
        <w:t xml:space="preserve"> </w:t>
      </w:r>
    </w:p>
  </w:footnote>
  <w:footnote w:id="26">
    <w:p w:rsidR="00CF407A" w:rsidRPr="00D0179E" w:rsidRDefault="00CF407A" w:rsidP="00CF407A">
      <w:pPr>
        <w:pStyle w:val="Footnote"/>
        <w:rPr>
          <w:rFonts w:eastAsia="SimSun"/>
        </w:rPr>
      </w:pPr>
      <w:r w:rsidRPr="00D0179E">
        <w:rPr>
          <w:rStyle w:val="FootnoteReference"/>
        </w:rPr>
        <w:footnoteRef/>
      </w:r>
      <w:r w:rsidRPr="00D0179E">
        <w:t xml:space="preserve"> IMS Health</w:t>
      </w:r>
      <w:r w:rsidRPr="00D0179E">
        <w:rPr>
          <w:rFonts w:eastAsia="SimSun"/>
        </w:rPr>
        <w:t>, para. 48.</w:t>
      </w:r>
    </w:p>
  </w:footnote>
  <w:footnote w:id="27">
    <w:p w:rsidR="00532A33" w:rsidRPr="00D0179E" w:rsidRDefault="00532A33" w:rsidP="00532A33">
      <w:pPr>
        <w:pStyle w:val="Footnote"/>
        <w:rPr>
          <w:rFonts w:eastAsia="SimSun"/>
        </w:rPr>
      </w:pPr>
      <w:r w:rsidRPr="00D0179E">
        <w:rPr>
          <w:rStyle w:val="FootnoteReference"/>
        </w:rPr>
        <w:footnoteRef/>
      </w:r>
      <w:r w:rsidRPr="00D0179E">
        <w:t xml:space="preserve"> </w:t>
      </w:r>
      <w:r w:rsidRPr="00D0179E">
        <w:rPr>
          <w:rFonts w:eastAsia="SimSun"/>
        </w:rPr>
        <w:t>Microsoft Interoperability, para. 647.</w:t>
      </w:r>
    </w:p>
  </w:footnote>
  <w:footnote w:id="28">
    <w:p w:rsidR="0028700F" w:rsidRPr="00D0179E" w:rsidRDefault="0028700F" w:rsidP="0028700F">
      <w:pPr>
        <w:pStyle w:val="Footnote"/>
        <w:rPr>
          <w:rFonts w:eastAsia="SimSun"/>
          <w:shd w:val="clear" w:color="auto" w:fill="FFFFFF"/>
        </w:rPr>
      </w:pPr>
      <w:r w:rsidRPr="00D0179E">
        <w:rPr>
          <w:rStyle w:val="FootnoteReference"/>
        </w:rPr>
        <w:footnoteRef/>
      </w:r>
      <w:r w:rsidRPr="00D0179E">
        <w:t xml:space="preserve"> </w:t>
      </w:r>
      <w:bookmarkStart w:id="4" w:name="I1"/>
      <w:proofErr w:type="gramStart"/>
      <w:r w:rsidRPr="00D0179E">
        <w:rPr>
          <w:shd w:val="clear" w:color="auto" w:fill="FFFFFF"/>
        </w:rPr>
        <w:t>Case T-69/89</w:t>
      </w:r>
      <w:r w:rsidRPr="00D0179E">
        <w:rPr>
          <w:rFonts w:eastAsia="SimSun"/>
          <w:shd w:val="clear" w:color="auto" w:fill="FFFFFF"/>
        </w:rPr>
        <w:t>,</w:t>
      </w:r>
      <w:r w:rsidRPr="00D0179E">
        <w:rPr>
          <w:shd w:val="clear" w:color="auto" w:fill="FFFFFF"/>
        </w:rPr>
        <w:t xml:space="preserve"> RTE v Commission</w:t>
      </w:r>
      <w:r w:rsidRPr="00D0179E">
        <w:rPr>
          <w:rFonts w:eastAsia="SimSun"/>
          <w:shd w:val="clear" w:color="auto" w:fill="FFFFFF"/>
        </w:rPr>
        <w:t>,</w:t>
      </w:r>
      <w:r w:rsidRPr="00D0179E">
        <w:rPr>
          <w:shd w:val="clear" w:color="auto" w:fill="FFFFFF"/>
        </w:rPr>
        <w:t xml:space="preserve"> [1991] ECR II-485</w:t>
      </w:r>
      <w:r w:rsidRPr="00D0179E">
        <w:rPr>
          <w:rFonts w:eastAsia="SimSun"/>
          <w:shd w:val="clear" w:color="auto" w:fill="FFFFFF"/>
        </w:rPr>
        <w:t>, para.</w:t>
      </w:r>
      <w:proofErr w:type="gramEnd"/>
      <w:r w:rsidRPr="00D0179E">
        <w:rPr>
          <w:rFonts w:eastAsia="SimSun"/>
          <w:shd w:val="clear" w:color="auto" w:fill="FFFFFF"/>
        </w:rPr>
        <w:t xml:space="preserve"> 73.</w:t>
      </w:r>
    </w:p>
    <w:bookmarkEnd w:id="4"/>
    <w:p w:rsidR="0028700F" w:rsidRPr="00D0179E" w:rsidRDefault="0028700F">
      <w:pPr>
        <w:pStyle w:val="FootnoteText"/>
        <w:rPr>
          <w:rFonts w:eastAsia="SimSun"/>
          <w:lang w:val="en-GB"/>
        </w:rPr>
      </w:pPr>
    </w:p>
  </w:footnote>
  <w:footnote w:id="29">
    <w:p w:rsidR="00981302" w:rsidRPr="00D0179E" w:rsidRDefault="00981302">
      <w:pPr>
        <w:pStyle w:val="FootnoteText"/>
        <w:rPr>
          <w:rFonts w:eastAsia="SimSun"/>
          <w:lang w:val="en-GB"/>
        </w:rPr>
      </w:pPr>
      <w:r w:rsidRPr="00D0179E">
        <w:rPr>
          <w:rStyle w:val="FootnoteReference"/>
          <w:lang w:val="en-GB"/>
        </w:rPr>
        <w:footnoteRef/>
      </w:r>
      <w:r w:rsidRPr="00D0179E">
        <w:rPr>
          <w:lang w:val="en-GB"/>
        </w:rPr>
        <w:t xml:space="preserve"> IMS Health, para. </w:t>
      </w:r>
      <w:r w:rsidRPr="00D0179E">
        <w:rPr>
          <w:rFonts w:eastAsia="SimSun"/>
          <w:lang w:val="en-GB"/>
        </w:rPr>
        <w:t>51.</w:t>
      </w:r>
    </w:p>
  </w:footnote>
  <w:footnote w:id="30">
    <w:p w:rsidR="000E3F01" w:rsidRPr="00D0179E" w:rsidRDefault="000E3F01" w:rsidP="000E3F01">
      <w:pPr>
        <w:pStyle w:val="Footnote"/>
        <w:rPr>
          <w:rFonts w:eastAsia="SimSun"/>
        </w:rPr>
      </w:pPr>
      <w:r w:rsidRPr="00D0179E">
        <w:rPr>
          <w:rStyle w:val="FootnoteReference"/>
        </w:rPr>
        <w:footnoteRef/>
      </w:r>
      <w:r w:rsidRPr="00D0179E">
        <w:t xml:space="preserve"> </w:t>
      </w:r>
      <w:r w:rsidRPr="00D0179E">
        <w:rPr>
          <w:rFonts w:eastAsia="SimSun"/>
        </w:rPr>
        <w:t>Microsoft Interoperability, para. 690.</w:t>
      </w:r>
    </w:p>
  </w:footnote>
  <w:footnote w:id="31">
    <w:p w:rsidR="0021627A" w:rsidRPr="00D0179E" w:rsidRDefault="0021627A" w:rsidP="0021627A">
      <w:pPr>
        <w:pStyle w:val="Footnote"/>
      </w:pPr>
      <w:r w:rsidRPr="00D0179E">
        <w:rPr>
          <w:rStyle w:val="FootnoteReference"/>
          <w:rFonts w:cs="Times New Roman"/>
        </w:rPr>
        <w:footnoteRef/>
      </w:r>
      <w:r w:rsidRPr="00D0179E">
        <w:t xml:space="preserve"> </w:t>
      </w:r>
      <w:r w:rsidRPr="00D0179E">
        <w:rPr>
          <w:bCs/>
          <w:i/>
          <w:iCs/>
        </w:rPr>
        <w:t>Magill</w:t>
      </w:r>
      <w:r w:rsidRPr="00D0179E">
        <w:rPr>
          <w:bCs/>
        </w:rPr>
        <w:t xml:space="preserve">, Para. </w:t>
      </w:r>
      <w:r w:rsidR="00E300E2" w:rsidRPr="00D0179E">
        <w:rPr>
          <w:rFonts w:eastAsia="SimSun"/>
          <w:bCs/>
        </w:rPr>
        <w:t>56</w:t>
      </w:r>
      <w:r w:rsidRPr="00D0179E">
        <w:rPr>
          <w:bCs/>
        </w:rPr>
        <w:t>.</w:t>
      </w:r>
      <w:r w:rsidRPr="00D0179E">
        <w:rPr>
          <w:rStyle w:val="Strong"/>
          <w:rFonts w:cs="Times New Roman"/>
        </w:rPr>
        <w:t xml:space="preserve">  </w:t>
      </w:r>
    </w:p>
  </w:footnote>
  <w:footnote w:id="32">
    <w:p w:rsidR="00726BD0" w:rsidRPr="00D0179E" w:rsidRDefault="00726BD0" w:rsidP="006219D7">
      <w:pPr>
        <w:pStyle w:val="Footnote"/>
        <w:rPr>
          <w:rFonts w:eastAsia="SimSun"/>
        </w:rPr>
      </w:pPr>
      <w:r w:rsidRPr="00D0179E">
        <w:rPr>
          <w:rStyle w:val="FootnoteReference"/>
        </w:rPr>
        <w:footnoteRef/>
      </w:r>
      <w:r w:rsidRPr="00D0179E">
        <w:t xml:space="preserve"> </w:t>
      </w:r>
      <w:r w:rsidRPr="00D0179E">
        <w:rPr>
          <w:shd w:val="clear" w:color="auto" w:fill="FFFFFF"/>
        </w:rPr>
        <w:t>Case C-7/97</w:t>
      </w:r>
      <w:r w:rsidRPr="00D0179E">
        <w:rPr>
          <w:rFonts w:eastAsia="SimSun"/>
          <w:shd w:val="clear" w:color="auto" w:fill="FFFFFF"/>
        </w:rPr>
        <w:t xml:space="preserve">, </w:t>
      </w:r>
      <w:r w:rsidR="006219D7" w:rsidRPr="00D0179E">
        <w:t xml:space="preserve">Oscar </w:t>
      </w:r>
      <w:proofErr w:type="spellStart"/>
      <w:r w:rsidR="006219D7" w:rsidRPr="00D0179E">
        <w:t>Bronner</w:t>
      </w:r>
      <w:proofErr w:type="spellEnd"/>
      <w:r w:rsidR="006219D7" w:rsidRPr="00D0179E">
        <w:t xml:space="preserve"> GmbH &amp; Co. KG v </w:t>
      </w:r>
      <w:proofErr w:type="spellStart"/>
      <w:r w:rsidR="006219D7" w:rsidRPr="00D0179E">
        <w:t>Mediaprint</w:t>
      </w:r>
      <w:proofErr w:type="spellEnd"/>
      <w:r w:rsidR="006219D7" w:rsidRPr="00D0179E">
        <w:t xml:space="preserve"> </w:t>
      </w:r>
      <w:proofErr w:type="spellStart"/>
      <w:r w:rsidR="006219D7" w:rsidRPr="00D0179E">
        <w:t>Zeitungs</w:t>
      </w:r>
      <w:proofErr w:type="spellEnd"/>
      <w:r w:rsidR="006219D7" w:rsidRPr="00D0179E">
        <w:t xml:space="preserve">- und </w:t>
      </w:r>
      <w:proofErr w:type="spellStart"/>
      <w:r w:rsidR="006219D7" w:rsidRPr="00D0179E">
        <w:t>Zeitschriftenverlag</w:t>
      </w:r>
      <w:proofErr w:type="spellEnd"/>
      <w:r w:rsidR="006219D7" w:rsidRPr="00D0179E">
        <w:t xml:space="preserve"> GmbH &amp; Co. KG, </w:t>
      </w:r>
      <w:proofErr w:type="spellStart"/>
      <w:r w:rsidR="006219D7" w:rsidRPr="00D0179E">
        <w:t>Mediaprint</w:t>
      </w:r>
      <w:proofErr w:type="spellEnd"/>
      <w:r w:rsidR="006219D7" w:rsidRPr="00D0179E">
        <w:t xml:space="preserve"> </w:t>
      </w:r>
      <w:proofErr w:type="spellStart"/>
      <w:r w:rsidR="006219D7" w:rsidRPr="00D0179E">
        <w:t>Zeitungsvertriebsgesellschaft</w:t>
      </w:r>
      <w:proofErr w:type="spellEnd"/>
      <w:r w:rsidR="006219D7" w:rsidRPr="00D0179E">
        <w:t xml:space="preserve"> </w:t>
      </w:r>
      <w:proofErr w:type="spellStart"/>
      <w:r w:rsidR="006219D7" w:rsidRPr="00D0179E">
        <w:t>mbH</w:t>
      </w:r>
      <w:proofErr w:type="spellEnd"/>
      <w:r w:rsidR="006219D7" w:rsidRPr="00D0179E">
        <w:t xml:space="preserve"> &amp; Co. KG and </w:t>
      </w:r>
      <w:proofErr w:type="spellStart"/>
      <w:r w:rsidR="006219D7" w:rsidRPr="00D0179E">
        <w:t>Mediaprint</w:t>
      </w:r>
      <w:proofErr w:type="spellEnd"/>
      <w:r w:rsidR="006219D7" w:rsidRPr="00D0179E">
        <w:t xml:space="preserve"> </w:t>
      </w:r>
      <w:proofErr w:type="spellStart"/>
      <w:r w:rsidR="006219D7" w:rsidRPr="00D0179E">
        <w:t>Anzeigengesellschaft</w:t>
      </w:r>
      <w:proofErr w:type="spellEnd"/>
      <w:r w:rsidR="006219D7" w:rsidRPr="00D0179E">
        <w:t xml:space="preserve"> </w:t>
      </w:r>
      <w:proofErr w:type="spellStart"/>
      <w:r w:rsidR="006219D7" w:rsidRPr="00D0179E">
        <w:t>mbH</w:t>
      </w:r>
      <w:proofErr w:type="spellEnd"/>
      <w:r w:rsidR="006219D7" w:rsidRPr="00D0179E">
        <w:t xml:space="preserve"> &amp; Co. KG., European Court reports 1998 Page I-07791</w:t>
      </w:r>
      <w:r w:rsidR="006219D7" w:rsidRPr="00D0179E">
        <w:rPr>
          <w:rFonts w:eastAsia="SimSun"/>
        </w:rPr>
        <w:t>.</w:t>
      </w:r>
    </w:p>
  </w:footnote>
  <w:footnote w:id="33">
    <w:p w:rsidR="00A56E49" w:rsidRPr="00D0179E" w:rsidRDefault="00A56E49" w:rsidP="00A56E49">
      <w:pPr>
        <w:pStyle w:val="Footnote"/>
        <w:rPr>
          <w:rFonts w:eastAsia="SimSun"/>
        </w:rPr>
      </w:pPr>
      <w:r w:rsidRPr="00D0179E">
        <w:rPr>
          <w:rStyle w:val="FootnoteReference"/>
        </w:rPr>
        <w:footnoteRef/>
      </w:r>
      <w:r w:rsidRPr="00D0179E">
        <w:t xml:space="preserve"> IMS Health, para. </w:t>
      </w:r>
      <w:r w:rsidRPr="00D0179E">
        <w:rPr>
          <w:rFonts w:eastAsia="SimSun"/>
        </w:rPr>
        <w:t>44.</w:t>
      </w:r>
    </w:p>
  </w:footnote>
  <w:footnote w:id="34">
    <w:p w:rsidR="003F6DC9" w:rsidRPr="00D0179E" w:rsidRDefault="003F6DC9" w:rsidP="003F6DC9">
      <w:pPr>
        <w:pStyle w:val="Footnote"/>
        <w:rPr>
          <w:rFonts w:eastAsia="SimSun"/>
        </w:rPr>
      </w:pPr>
      <w:r w:rsidRPr="00D0179E">
        <w:rPr>
          <w:rStyle w:val="FootnoteReference"/>
        </w:rPr>
        <w:footnoteRef/>
      </w:r>
      <w:r w:rsidRPr="00D0179E">
        <w:t xml:space="preserve"> </w:t>
      </w:r>
      <w:r w:rsidRPr="00D0179E">
        <w:rPr>
          <w:rFonts w:eastAsia="SimSun"/>
        </w:rPr>
        <w:t>Microsoft Interoperability, para. 563.</w:t>
      </w:r>
    </w:p>
  </w:footnote>
  <w:footnote w:id="35">
    <w:p w:rsidR="00086BB9" w:rsidRPr="00D0179E" w:rsidRDefault="00086BB9" w:rsidP="00086BB9">
      <w:pPr>
        <w:pStyle w:val="Footnote"/>
        <w:rPr>
          <w:rFonts w:eastAsia="SimSun"/>
        </w:rPr>
      </w:pPr>
      <w:r w:rsidRPr="00D0179E">
        <w:rPr>
          <w:rStyle w:val="FootnoteReference"/>
        </w:rPr>
        <w:footnoteRef/>
      </w:r>
      <w:r w:rsidRPr="00D0179E">
        <w:t xml:space="preserve"> </w:t>
      </w:r>
      <w:r w:rsidRPr="00D0179E">
        <w:rPr>
          <w:rFonts w:eastAsia="SimSun"/>
        </w:rPr>
        <w:t>Id.</w:t>
      </w:r>
    </w:p>
  </w:footnote>
  <w:footnote w:id="36">
    <w:p w:rsidR="00A830A1" w:rsidRPr="00D0179E" w:rsidRDefault="00A830A1" w:rsidP="00A830A1">
      <w:pPr>
        <w:pStyle w:val="Footnote"/>
        <w:rPr>
          <w:rFonts w:eastAsia="SimSun"/>
        </w:rPr>
      </w:pPr>
      <w:r w:rsidRPr="00D0179E">
        <w:rPr>
          <w:rStyle w:val="FootnoteReference"/>
        </w:rPr>
        <w:footnoteRef/>
      </w:r>
      <w:r w:rsidRPr="00D0179E">
        <w:t xml:space="preserve"> </w:t>
      </w:r>
      <w:r w:rsidRPr="00D0179E">
        <w:rPr>
          <w:bCs/>
          <w:i/>
          <w:iCs/>
        </w:rPr>
        <w:t>Magill</w:t>
      </w:r>
      <w:r w:rsidRPr="00D0179E">
        <w:rPr>
          <w:bCs/>
        </w:rPr>
        <w:t xml:space="preserve">, Para. </w:t>
      </w:r>
      <w:r w:rsidRPr="00D0179E">
        <w:rPr>
          <w:rFonts w:eastAsia="SimSun"/>
          <w:bCs/>
        </w:rPr>
        <w:t>53</w:t>
      </w:r>
      <w:r w:rsidRPr="00D0179E">
        <w:rPr>
          <w:bCs/>
        </w:rPr>
        <w:t>.</w:t>
      </w:r>
      <w:r w:rsidRPr="00D0179E">
        <w:rPr>
          <w:rStyle w:val="Strong"/>
          <w:rFonts w:cs="Times New Roman"/>
        </w:rPr>
        <w:t xml:space="preserve">  </w:t>
      </w:r>
    </w:p>
  </w:footnote>
  <w:footnote w:id="37">
    <w:p w:rsidR="008A3EBF" w:rsidRPr="00D0179E" w:rsidRDefault="008A3EBF" w:rsidP="008A3EBF">
      <w:pPr>
        <w:pStyle w:val="Footnote"/>
        <w:rPr>
          <w:rFonts w:eastAsia="SimSun"/>
        </w:rPr>
      </w:pPr>
      <w:r w:rsidRPr="00D0179E">
        <w:rPr>
          <w:rStyle w:val="FootnoteReference"/>
        </w:rPr>
        <w:footnoteRef/>
      </w:r>
      <w:r w:rsidRPr="00D0179E">
        <w:t xml:space="preserve"> </w:t>
      </w:r>
      <w:r w:rsidRPr="00D0179E">
        <w:rPr>
          <w:rFonts w:eastAsia="SimSun"/>
        </w:rPr>
        <w:t>IMS Health, para. 29.</w:t>
      </w:r>
    </w:p>
  </w:footnote>
  <w:footnote w:id="38">
    <w:p w:rsidR="00441CF7" w:rsidRPr="00D0179E" w:rsidRDefault="00441CF7" w:rsidP="00441CF7">
      <w:pPr>
        <w:pStyle w:val="Footnote"/>
        <w:rPr>
          <w:rFonts w:eastAsia="SimSun"/>
        </w:rPr>
      </w:pPr>
      <w:r w:rsidRPr="00D0179E">
        <w:rPr>
          <w:rStyle w:val="FootnoteReference"/>
        </w:rPr>
        <w:footnoteRef/>
      </w:r>
      <w:r w:rsidRPr="00D0179E">
        <w:t xml:space="preserve"> </w:t>
      </w:r>
      <w:r w:rsidRPr="00D0179E">
        <w:rPr>
          <w:rFonts w:eastAsia="SimSun"/>
        </w:rPr>
        <w:t>Microsoft Interoperability, para. 379.</w:t>
      </w:r>
    </w:p>
  </w:footnote>
  <w:footnote w:id="39">
    <w:p w:rsidR="00246139" w:rsidRPr="002F6691" w:rsidRDefault="00246139" w:rsidP="00246139">
      <w:pPr>
        <w:pStyle w:val="Footnote"/>
        <w:rPr>
          <w:rFonts w:eastAsia="SimSun"/>
        </w:rPr>
      </w:pPr>
      <w:r w:rsidRPr="002F6691">
        <w:rPr>
          <w:rStyle w:val="FootnoteReference"/>
          <w:rFonts w:ascii="Times New Roman" w:hAnsi="Times New Roman" w:cs="Times New Roman"/>
        </w:rPr>
        <w:footnoteRef/>
      </w:r>
      <w:r w:rsidRPr="002F6691">
        <w:t xml:space="preserve"> Guidance on the Commission's enforcement priorities in applying Article 82 of the EC Treaty to abusive exclusionary conduct by dominant undertakings,</w:t>
      </w:r>
      <w:r w:rsidRPr="002F6691">
        <w:rPr>
          <w:rFonts w:eastAsia="SimSun"/>
        </w:rPr>
        <w:t xml:space="preserve"> </w:t>
      </w:r>
      <w:r w:rsidRPr="002F6691">
        <w:rPr>
          <w:i/>
          <w:iCs/>
        </w:rPr>
        <w:t>OJ C 45, 24.2.2009, p. 7–20</w:t>
      </w:r>
      <w:r w:rsidRPr="002F6691">
        <w:rPr>
          <w:rFonts w:eastAsia="SimSun"/>
          <w:i/>
          <w:iCs/>
        </w:rPr>
        <w:t xml:space="preserve">, </w:t>
      </w:r>
      <w:r w:rsidRPr="002F6691">
        <w:rPr>
          <w:rFonts w:eastAsia="SimSun"/>
          <w:iCs/>
        </w:rPr>
        <w:t>para. 78.</w:t>
      </w:r>
    </w:p>
  </w:footnote>
  <w:footnote w:id="40">
    <w:p w:rsidR="00246139" w:rsidRPr="002F6691" w:rsidRDefault="00246139" w:rsidP="00246139">
      <w:pPr>
        <w:pStyle w:val="Footnote"/>
        <w:rPr>
          <w:rFonts w:eastAsia="SimSun"/>
        </w:rPr>
      </w:pPr>
      <w:r w:rsidRPr="002F6691">
        <w:rPr>
          <w:rStyle w:val="FootnoteReference"/>
        </w:rPr>
        <w:footnoteRef/>
      </w:r>
      <w:r w:rsidRPr="002F6691">
        <w:t xml:space="preserve"> </w:t>
      </w:r>
      <w:proofErr w:type="gramStart"/>
      <w:r w:rsidRPr="002F6691">
        <w:rPr>
          <w:rFonts w:eastAsia="SimSun"/>
        </w:rPr>
        <w:t>Id, para.79.</w:t>
      </w:r>
      <w:proofErr w:type="gramEnd"/>
      <w:r w:rsidRPr="002F6691">
        <w:rPr>
          <w:rFonts w:eastAsia="SimSun"/>
        </w:rPr>
        <w:t xml:space="preserve"> </w:t>
      </w:r>
    </w:p>
  </w:footnote>
  <w:footnote w:id="41">
    <w:p w:rsidR="00246139" w:rsidRPr="002F6691" w:rsidRDefault="00246139" w:rsidP="00246139">
      <w:pPr>
        <w:pStyle w:val="Footnote"/>
        <w:rPr>
          <w:rFonts w:eastAsia="SimSun"/>
        </w:rPr>
      </w:pPr>
      <w:r w:rsidRPr="002F6691">
        <w:rPr>
          <w:vertAlign w:val="superscript"/>
        </w:rPr>
        <w:footnoteRef/>
      </w:r>
      <w:r w:rsidRPr="002F6691">
        <w:rPr>
          <w:vertAlign w:val="superscript"/>
        </w:rPr>
        <w:t xml:space="preserve"> </w:t>
      </w:r>
      <w:r w:rsidRPr="002F6691">
        <w:rPr>
          <w:rFonts w:eastAsia="SimSun"/>
        </w:rPr>
        <w:t>Article 82 Application Guidance, para. 81.</w:t>
      </w:r>
    </w:p>
  </w:footnote>
  <w:footnote w:id="42">
    <w:p w:rsidR="0090708B" w:rsidRPr="00D0179E" w:rsidRDefault="0090708B" w:rsidP="0090708B">
      <w:pPr>
        <w:pStyle w:val="Footnote"/>
        <w:rPr>
          <w:rFonts w:eastAsia="SimSun"/>
        </w:rPr>
      </w:pPr>
      <w:r w:rsidRPr="00D0179E">
        <w:rPr>
          <w:rStyle w:val="FootnoteReference"/>
        </w:rPr>
        <w:footnoteRef/>
      </w:r>
      <w:r w:rsidRPr="00D0179E">
        <w:t xml:space="preserve"> </w:t>
      </w:r>
      <w:r w:rsidRPr="00D0179E">
        <w:rPr>
          <w:rFonts w:eastAsia="SimSun"/>
        </w:rPr>
        <w:t>DOJ and FTC, Antitrust Enforcement and Intellectual Property Rights, April 2007</w:t>
      </w:r>
    </w:p>
  </w:footnote>
  <w:footnote w:id="43">
    <w:p w:rsidR="0096625E" w:rsidRPr="00D0179E" w:rsidRDefault="0096625E" w:rsidP="0096625E">
      <w:pPr>
        <w:pStyle w:val="Footnote"/>
        <w:rPr>
          <w:rFonts w:eastAsia="SimSun"/>
        </w:rPr>
      </w:pPr>
      <w:r w:rsidRPr="00D0179E">
        <w:rPr>
          <w:rStyle w:val="FootnoteReference"/>
        </w:rPr>
        <w:footnoteRef/>
      </w:r>
      <w:r w:rsidRPr="00D0179E">
        <w:t xml:space="preserve"> </w:t>
      </w:r>
      <w:r w:rsidRPr="00D0179E">
        <w:rPr>
          <w:rFonts w:eastAsia="Times New Roman"/>
        </w:rPr>
        <w:t>Case</w:t>
      </w:r>
      <w:r w:rsidRPr="00D0179E">
        <w:rPr>
          <w:rFonts w:eastAsia="SimSun"/>
        </w:rPr>
        <w:t xml:space="preserve"> COMP/</w:t>
      </w:r>
      <w:hyperlink r:id="rId6" w:tgtFrame="_blank" w:history="1">
        <w:r w:rsidRPr="00D0179E">
          <w:t>39</w:t>
        </w:r>
        <w:r w:rsidRPr="00D0179E">
          <w:rPr>
            <w:rFonts w:eastAsia="SimSun"/>
          </w:rPr>
          <w:t>.</w:t>
        </w:r>
        <w:r w:rsidRPr="00D0179E">
          <w:t>615</w:t>
        </w:r>
      </w:hyperlink>
      <w:r w:rsidRPr="00D0179E">
        <w:rPr>
          <w:rFonts w:eastAsia="SimSun"/>
          <w:b/>
          <w:bCs/>
        </w:rPr>
        <w:t>-</w:t>
      </w:r>
      <w:r w:rsidRPr="00D0179E">
        <w:rPr>
          <w:rFonts w:eastAsia="SimSun"/>
        </w:rPr>
        <w:t> Nokia/</w:t>
      </w:r>
      <w:proofErr w:type="spellStart"/>
      <w:r w:rsidRPr="00D0179E">
        <w:rPr>
          <w:rFonts w:eastAsia="SimSun"/>
        </w:rPr>
        <w:t>Bosch+IPCom</w:t>
      </w:r>
      <w:proofErr w:type="spellEnd"/>
    </w:p>
  </w:footnote>
  <w:footnote w:id="44">
    <w:p w:rsidR="0096625E" w:rsidRPr="00D0179E" w:rsidRDefault="0096625E" w:rsidP="0096625E">
      <w:pPr>
        <w:pStyle w:val="Footnote"/>
        <w:rPr>
          <w:rFonts w:eastAsia="SimSun"/>
        </w:rPr>
      </w:pPr>
      <w:r w:rsidRPr="00D0179E">
        <w:rPr>
          <w:rStyle w:val="FootnoteReference"/>
        </w:rPr>
        <w:footnoteRef/>
      </w:r>
      <w:r w:rsidRPr="00D0179E">
        <w:t xml:space="preserve"> </w:t>
      </w:r>
      <w:proofErr w:type="gramStart"/>
      <w:r w:rsidRPr="00D0179E">
        <w:rPr>
          <w:rFonts w:eastAsia="Times New Roman"/>
        </w:rPr>
        <w:t>Horizontal</w:t>
      </w:r>
      <w:r w:rsidRPr="00D0179E">
        <w:rPr>
          <w:rFonts w:eastAsia="SimSun"/>
        </w:rPr>
        <w:t xml:space="preserve"> Guidelines, para.285.</w:t>
      </w:r>
      <w:proofErr w:type="gramEnd"/>
    </w:p>
  </w:footnote>
  <w:footnote w:id="45">
    <w:p w:rsidR="0096625E" w:rsidRPr="00D0179E" w:rsidRDefault="0096625E" w:rsidP="0096625E">
      <w:pPr>
        <w:pStyle w:val="Footnote"/>
        <w:rPr>
          <w:rFonts w:eastAsia="SimSun"/>
        </w:rPr>
      </w:pPr>
      <w:r w:rsidRPr="00D0179E">
        <w:rPr>
          <w:rStyle w:val="FootnoteReference"/>
        </w:rPr>
        <w:footnoteRef/>
      </w:r>
      <w:r w:rsidRPr="00D0179E">
        <w:t xml:space="preserve"> </w:t>
      </w:r>
      <w:r w:rsidRPr="00D0179E">
        <w:rPr>
          <w:rFonts w:eastAsia="Times New Roman"/>
        </w:rPr>
        <w:t xml:space="preserve">Commission welcomes </w:t>
      </w:r>
      <w:proofErr w:type="spellStart"/>
      <w:r w:rsidRPr="00D0179E">
        <w:rPr>
          <w:rFonts w:eastAsia="Times New Roman"/>
        </w:rPr>
        <w:t>IPCom's</w:t>
      </w:r>
      <w:proofErr w:type="spellEnd"/>
      <w:r w:rsidRPr="00D0179E">
        <w:rPr>
          <w:rFonts w:eastAsia="Times New Roman"/>
        </w:rPr>
        <w:t xml:space="preserve"> public FRAND declaration, MEMO/09/549, Brussels, 10 </w:t>
      </w:r>
      <w:proofErr w:type="spellStart"/>
      <w:r w:rsidRPr="00D0179E">
        <w:rPr>
          <w:rFonts w:eastAsia="Times New Roman"/>
        </w:rPr>
        <w:t>th</w:t>
      </w:r>
      <w:proofErr w:type="spellEnd"/>
      <w:r w:rsidRPr="00D0179E">
        <w:rPr>
          <w:rFonts w:eastAsia="Times New Roman"/>
        </w:rPr>
        <w:t> December 2009,</w:t>
      </w:r>
      <w:r w:rsidRPr="00D0179E">
        <w:rPr>
          <w:rFonts w:ascii="Verdana" w:eastAsia="SimSun" w:hAnsi="Verdana"/>
          <w:sz w:val="15"/>
          <w:szCs w:val="15"/>
          <w:shd w:val="clear" w:color="auto" w:fill="FFFFFF"/>
        </w:rPr>
        <w:t xml:space="preserve"> </w:t>
      </w:r>
      <w:hyperlink r:id="rId7" w:history="1">
        <w:r w:rsidRPr="00D0179E">
          <w:rPr>
            <w:rStyle w:val="Hyperlink"/>
          </w:rPr>
          <w:t>http://europa.eu/rapid/pressReleasesAction.do?reference=MEMO/09/549&amp;format=HTML&amp;aged=0&amp;language=EN&amp;guiLanguage=en</w:t>
        </w:r>
      </w:hyperlink>
    </w:p>
  </w:footnote>
  <w:footnote w:id="46">
    <w:p w:rsidR="0096625E" w:rsidRPr="00D0179E" w:rsidRDefault="0096625E" w:rsidP="0096625E">
      <w:pPr>
        <w:pStyle w:val="Footnote"/>
        <w:rPr>
          <w:rFonts w:eastAsia="SimSun"/>
        </w:rPr>
      </w:pPr>
      <w:r w:rsidRPr="00D0179E">
        <w:rPr>
          <w:rStyle w:val="FootnoteReference"/>
        </w:rPr>
        <w:footnoteRef/>
      </w:r>
      <w:r w:rsidRPr="00D0179E">
        <w:t xml:space="preserve"> </w:t>
      </w:r>
      <w:r w:rsidRPr="00D0179E">
        <w:rPr>
          <w:rFonts w:eastAsia="Times New Roman"/>
        </w:rPr>
        <w:t>Case COMP/</w:t>
      </w:r>
      <w:r w:rsidRPr="00D0179E">
        <w:rPr>
          <w:rFonts w:eastAsia="SimSun"/>
        </w:rPr>
        <w:t>38</w:t>
      </w:r>
      <w:r w:rsidRPr="00D0179E">
        <w:rPr>
          <w:rFonts w:eastAsia="Times New Roman"/>
        </w:rPr>
        <w:t>.636 –</w:t>
      </w:r>
      <w:r w:rsidRPr="00D0179E">
        <w:rPr>
          <w:rFonts w:eastAsia="SimSun"/>
        </w:rPr>
        <w:t xml:space="preserve"> </w:t>
      </w:r>
      <w:r w:rsidRPr="00D0179E">
        <w:rPr>
          <w:rFonts w:eastAsia="Times New Roman"/>
        </w:rPr>
        <w:t>RAMBUS</w:t>
      </w:r>
      <w:r w:rsidRPr="00D0179E">
        <w:rPr>
          <w:rFonts w:eastAsia="SimSun"/>
        </w:rPr>
        <w:t xml:space="preserve">, </w:t>
      </w:r>
    </w:p>
  </w:footnote>
  <w:footnote w:id="47">
    <w:p w:rsidR="0096625E" w:rsidRPr="00D0179E" w:rsidRDefault="0096625E" w:rsidP="0096625E">
      <w:pPr>
        <w:pStyle w:val="Footnote"/>
        <w:rPr>
          <w:rFonts w:ascii="Verdana" w:eastAsia="SimSun" w:hAnsi="Verdana"/>
        </w:rPr>
      </w:pPr>
      <w:r w:rsidRPr="00D0179E">
        <w:rPr>
          <w:rStyle w:val="FootnoteReference"/>
        </w:rPr>
        <w:footnoteRef/>
      </w:r>
      <w:r w:rsidRPr="00D0179E">
        <w:t xml:space="preserve"> </w:t>
      </w:r>
      <w:r w:rsidRPr="00D0179E">
        <w:rPr>
          <w:rFonts w:eastAsia="Times New Roman"/>
        </w:rPr>
        <w:t>Commission confirms sending a Statement of Objections to Rambus, MEMO/07/330, Brussels, 23rd August 2007,</w:t>
      </w:r>
      <w:r w:rsidRPr="00D0179E">
        <w:rPr>
          <w:rFonts w:ascii="Verdana" w:eastAsia="SimSun" w:hAnsi="Verdana"/>
          <w:sz w:val="15"/>
          <w:szCs w:val="15"/>
          <w:shd w:val="clear" w:color="auto" w:fill="FFFFFF"/>
        </w:rPr>
        <w:t xml:space="preserve"> </w:t>
      </w:r>
      <w:hyperlink r:id="rId8" w:history="1">
        <w:r w:rsidRPr="00D0179E">
          <w:rPr>
            <w:rStyle w:val="Hyperlink"/>
          </w:rPr>
          <w:t>http://europa.eu/rapid/pressReleasesAction.do?reference=MEMO/07/330&amp;format=HTML&amp;aged=0&amp;language=EN&amp;guiLanguage=en</w:t>
        </w:r>
      </w:hyperlink>
      <w:r w:rsidRPr="00D0179E">
        <w:rPr>
          <w:rFonts w:eastAsia="SimSun"/>
        </w:rPr>
        <w:t>.</w:t>
      </w:r>
    </w:p>
  </w:footnote>
  <w:footnote w:id="48">
    <w:p w:rsidR="0096625E" w:rsidRPr="00D0179E" w:rsidRDefault="0096625E" w:rsidP="0096625E">
      <w:pPr>
        <w:pStyle w:val="Footnote"/>
        <w:rPr>
          <w:rFonts w:eastAsia="SimSun"/>
        </w:rPr>
      </w:pPr>
      <w:r w:rsidRPr="00D0179E">
        <w:rPr>
          <w:rStyle w:val="FootnoteReference"/>
        </w:rPr>
        <w:footnoteRef/>
      </w:r>
      <w:r w:rsidRPr="00D0179E">
        <w:t xml:space="preserve"> </w:t>
      </w:r>
      <w:proofErr w:type="gramStart"/>
      <w:r w:rsidRPr="00D0179E">
        <w:rPr>
          <w:rFonts w:eastAsia="SimSun"/>
        </w:rPr>
        <w:t>Rambus, Commission Decision, para.</w:t>
      </w:r>
      <w:proofErr w:type="gramEnd"/>
      <w:r w:rsidRPr="00D0179E">
        <w:rPr>
          <w:rFonts w:eastAsia="SimSun"/>
        </w:rPr>
        <w:t xml:space="preserve"> 30.</w:t>
      </w:r>
      <w:r w:rsidRPr="00D0179E">
        <w:t xml:space="preserve"> </w:t>
      </w:r>
      <w:hyperlink r:id="rId9" w:history="1">
        <w:r w:rsidRPr="00D0179E">
          <w:rPr>
            <w:rStyle w:val="Hyperlink"/>
          </w:rPr>
          <w:t>http://ec.europa.eu/competition/antitrust/cases/dec_docs/38636/38636_1192_5.pdf</w:t>
        </w:r>
      </w:hyperlink>
    </w:p>
  </w:footnote>
  <w:footnote w:id="49">
    <w:p w:rsidR="0096625E" w:rsidRPr="00D0179E" w:rsidRDefault="0096625E" w:rsidP="0096625E">
      <w:pPr>
        <w:pStyle w:val="Footnote"/>
      </w:pPr>
      <w:r w:rsidRPr="00D0179E">
        <w:rPr>
          <w:rStyle w:val="FootnoteReference"/>
        </w:rPr>
        <w:footnoteRef/>
      </w:r>
      <w:r w:rsidRPr="00D0179E">
        <w:t xml:space="preserve"> </w:t>
      </w:r>
      <w:r w:rsidRPr="00D0179E">
        <w:rPr>
          <w:rFonts w:eastAsia="SimSun"/>
        </w:rPr>
        <w:t>Council</w:t>
      </w:r>
      <w:r w:rsidRPr="00D0179E">
        <w:t xml:space="preserve"> Regulation (EC) No 1/2003 on the implementation of the rules on competition laid down in Articles 81 and 82 the Treaty, OJ L 1, 4.1.2003, recital 12. </w:t>
      </w:r>
    </w:p>
  </w:footnote>
  <w:footnote w:id="50">
    <w:p w:rsidR="0096625E" w:rsidRPr="00D0179E" w:rsidRDefault="0096625E" w:rsidP="0096625E">
      <w:pPr>
        <w:pStyle w:val="Footnote"/>
        <w:rPr>
          <w:rFonts w:eastAsia="SimSun"/>
        </w:rPr>
      </w:pPr>
      <w:r w:rsidRPr="00D0179E">
        <w:rPr>
          <w:rStyle w:val="FootnoteReference"/>
        </w:rPr>
        <w:footnoteRef/>
      </w:r>
      <w:r w:rsidRPr="00D0179E">
        <w:t xml:space="preserve"> </w:t>
      </w:r>
      <w:r w:rsidRPr="00D0179E">
        <w:rPr>
          <w:rFonts w:eastAsia="SimSun"/>
        </w:rPr>
        <w:t xml:space="preserve">Commission Decision, Supra note </w:t>
      </w:r>
    </w:p>
  </w:footnote>
  <w:footnote w:id="51">
    <w:p w:rsidR="003D4124" w:rsidRPr="00D0179E" w:rsidRDefault="003D4124" w:rsidP="00282243">
      <w:pPr>
        <w:pStyle w:val="Footnote"/>
        <w:rPr>
          <w:rFonts w:eastAsia="SimSun"/>
        </w:rPr>
      </w:pPr>
      <w:r w:rsidRPr="00D0179E">
        <w:rPr>
          <w:rStyle w:val="FootnoteReference"/>
        </w:rPr>
        <w:footnoteRef/>
      </w:r>
      <w:r w:rsidRPr="00D0179E">
        <w:t xml:space="preserve"> </w:t>
      </w:r>
      <w:proofErr w:type="gramStart"/>
      <w:r w:rsidRPr="00D0179E">
        <w:t>Council Regulation (EC) No 139/2004 of 20 January 2004 on the control of concentrations between undertakings (the EC Merger Regulation), OJ L 024, 29/01/2004</w:t>
      </w:r>
      <w:r w:rsidRPr="00D0179E">
        <w:rPr>
          <w:rFonts w:eastAsia="SimSun"/>
        </w:rPr>
        <w:t>, Art.2.</w:t>
      </w:r>
      <w:proofErr w:type="gramEnd"/>
      <w:r w:rsidRPr="00D0179E">
        <w:rPr>
          <w:rFonts w:eastAsia="SimSun"/>
        </w:rPr>
        <w:t xml:space="preserve"> </w:t>
      </w:r>
    </w:p>
  </w:footnote>
  <w:footnote w:id="52">
    <w:p w:rsidR="00C2697D" w:rsidRPr="00D0179E" w:rsidRDefault="00C2697D" w:rsidP="00282243">
      <w:pPr>
        <w:pStyle w:val="Footnote"/>
        <w:rPr>
          <w:szCs w:val="20"/>
        </w:rPr>
      </w:pPr>
      <w:r w:rsidRPr="00D0179E">
        <w:rPr>
          <w:rStyle w:val="FootnoteReference"/>
          <w:rFonts w:cs="Times New Roman"/>
        </w:rPr>
        <w:footnoteRef/>
      </w:r>
      <w:r w:rsidRPr="00D0179E">
        <w:t xml:space="preserve"> </w:t>
      </w:r>
      <w:r w:rsidRPr="00D0179E">
        <w:rPr>
          <w:szCs w:val="20"/>
        </w:rPr>
        <w:t>Horizontal Merger Notice, para. 36.</w:t>
      </w:r>
    </w:p>
  </w:footnote>
  <w:footnote w:id="53">
    <w:p w:rsidR="00BF0B8C" w:rsidRPr="00D0179E" w:rsidRDefault="00BF0B8C" w:rsidP="00BF0B8C">
      <w:pPr>
        <w:pStyle w:val="Footnote"/>
        <w:rPr>
          <w:rFonts w:eastAsia="SimSun"/>
        </w:rPr>
      </w:pPr>
      <w:r w:rsidRPr="00D0179E">
        <w:rPr>
          <w:rStyle w:val="FootnoteReference"/>
          <w:rFonts w:cs="Times New Roman"/>
        </w:rPr>
        <w:footnoteRef/>
      </w:r>
      <w:r w:rsidRPr="00D0179E">
        <w:t xml:space="preserve"> </w:t>
      </w:r>
      <w:r w:rsidRPr="00D0179E">
        <w:rPr>
          <w:rFonts w:eastAsia="Times New Roman"/>
        </w:rPr>
        <w:t xml:space="preserve">Bain, J. 1956, </w:t>
      </w:r>
      <w:r w:rsidRPr="00D0179E">
        <w:rPr>
          <w:rFonts w:eastAsia="Times New Roman"/>
          <w:i/>
          <w:iCs/>
        </w:rPr>
        <w:t xml:space="preserve">Barriers to New Competition: Their Character and Consequences in </w:t>
      </w:r>
      <w:r w:rsidRPr="00D0179E">
        <w:rPr>
          <w:rFonts w:eastAsia="Times New Roman"/>
          <w:i/>
        </w:rPr>
        <w:t>Manufacturing</w:t>
      </w:r>
      <w:r w:rsidRPr="00D0179E">
        <w:rPr>
          <w:rFonts w:eastAsia="Times New Roman"/>
          <w:i/>
          <w:iCs/>
        </w:rPr>
        <w:t xml:space="preserve"> Industries, </w:t>
      </w:r>
      <w:r w:rsidRPr="00D0179E">
        <w:rPr>
          <w:rFonts w:eastAsia="Times New Roman"/>
        </w:rPr>
        <w:t>Harvard Univ</w:t>
      </w:r>
      <w:r w:rsidRPr="00D0179E">
        <w:rPr>
          <w:rFonts w:eastAsia="SimSun"/>
        </w:rPr>
        <w:t>ersity</w:t>
      </w:r>
      <w:r w:rsidRPr="00D0179E">
        <w:rPr>
          <w:rFonts w:eastAsia="Times New Roman"/>
        </w:rPr>
        <w:t xml:space="preserve"> Press, Cambridge</w:t>
      </w:r>
      <w:r w:rsidRPr="00D0179E">
        <w:rPr>
          <w:rFonts w:eastAsia="SimSun"/>
        </w:rPr>
        <w:t>, p. 3.</w:t>
      </w:r>
    </w:p>
  </w:footnote>
  <w:footnote w:id="54">
    <w:p w:rsidR="00105B54" w:rsidRPr="00D0179E" w:rsidRDefault="00105B54" w:rsidP="00105B54">
      <w:pPr>
        <w:pStyle w:val="Footnote"/>
        <w:rPr>
          <w:rFonts w:eastAsia="SimSun"/>
        </w:rPr>
      </w:pPr>
      <w:r w:rsidRPr="00D0179E">
        <w:rPr>
          <w:rStyle w:val="FootnoteReference"/>
        </w:rPr>
        <w:footnoteRef/>
      </w:r>
      <w:r w:rsidRPr="00D0179E">
        <w:t xml:space="preserve"> </w:t>
      </w:r>
      <w:r w:rsidRPr="00D0179E">
        <w:rPr>
          <w:rFonts w:eastAsia="SimSun"/>
        </w:rPr>
        <w:t xml:space="preserve">Horizontal Merger Notice, para. </w:t>
      </w:r>
      <w:proofErr w:type="gramStart"/>
      <w:r w:rsidRPr="00D0179E">
        <w:rPr>
          <w:rFonts w:eastAsia="SimSun"/>
        </w:rPr>
        <w:t>26 &amp; 36.</w:t>
      </w:r>
      <w:proofErr w:type="gramEnd"/>
      <w:r w:rsidRPr="00D0179E">
        <w:rPr>
          <w:rFonts w:eastAsia="SimSun"/>
        </w:rPr>
        <w:t xml:space="preserve">  </w:t>
      </w:r>
    </w:p>
  </w:footnote>
  <w:footnote w:id="55">
    <w:p w:rsidR="00BA341D" w:rsidRPr="00D0179E" w:rsidRDefault="00BA341D" w:rsidP="00282243">
      <w:pPr>
        <w:pStyle w:val="Footnote"/>
        <w:rPr>
          <w:szCs w:val="20"/>
        </w:rPr>
      </w:pPr>
      <w:r w:rsidRPr="00D0179E">
        <w:rPr>
          <w:rStyle w:val="FootnoteReference"/>
          <w:rFonts w:cs="Times New Roman"/>
        </w:rPr>
        <w:footnoteRef/>
      </w:r>
      <w:r w:rsidRPr="00D0179E">
        <w:t xml:space="preserve"> </w:t>
      </w:r>
      <w:r w:rsidRPr="00D0179E">
        <w:rPr>
          <w:szCs w:val="20"/>
        </w:rPr>
        <w:t>Case</w:t>
      </w:r>
      <w:r w:rsidRPr="00D0179E">
        <w:rPr>
          <w:b/>
          <w:bCs/>
          <w:szCs w:val="24"/>
          <w:lang w:bidi="ar-SA"/>
        </w:rPr>
        <w:t xml:space="preserve"> </w:t>
      </w:r>
      <w:r w:rsidR="00C82639" w:rsidRPr="00D0179E">
        <w:rPr>
          <w:szCs w:val="20"/>
        </w:rPr>
        <w:t>COMP/M.2698</w:t>
      </w:r>
      <w:r w:rsidRPr="00D0179E">
        <w:rPr>
          <w:szCs w:val="20"/>
        </w:rPr>
        <w:t xml:space="preserve">, </w:t>
      </w:r>
      <w:r w:rsidR="00C82639" w:rsidRPr="00D0179E">
        <w:rPr>
          <w:i/>
        </w:rPr>
        <w:t>PROMATECH / SULZER TEXTIL</w:t>
      </w:r>
      <w:r w:rsidRPr="00D0179E">
        <w:rPr>
          <w:szCs w:val="20"/>
        </w:rPr>
        <w:t xml:space="preserve">, </w:t>
      </w:r>
      <w:hyperlink r:id="rId10" w:history="1">
        <w:r w:rsidR="00C82639" w:rsidRPr="00D0179E">
          <w:rPr>
            <w:rStyle w:val="Hyperlink"/>
            <w:rFonts w:cs="Times New Roman"/>
          </w:rPr>
          <w:t>http://ec.europa.eu/competition/mergers/cases/decisions/m2698_en.pdf</w:t>
        </w:r>
      </w:hyperlink>
      <w:r w:rsidR="00C82639" w:rsidRPr="00D0179E">
        <w:t xml:space="preserve"> </w:t>
      </w:r>
    </w:p>
  </w:footnote>
  <w:footnote w:id="56">
    <w:p w:rsidR="00EE551D" w:rsidRPr="00D0179E" w:rsidRDefault="00EE551D" w:rsidP="005D0093">
      <w:pPr>
        <w:pStyle w:val="Footnote"/>
      </w:pPr>
      <w:r w:rsidRPr="00D0179E">
        <w:rPr>
          <w:rStyle w:val="FootnoteReference"/>
          <w:rFonts w:cs="Times New Roman"/>
        </w:rPr>
        <w:footnoteRef/>
      </w:r>
      <w:r w:rsidRPr="00D0179E">
        <w:t xml:space="preserve"> Non</w:t>
      </w:r>
      <w:r w:rsidR="00A34B68" w:rsidRPr="00D0179E">
        <w:rPr>
          <w:rFonts w:eastAsia="SimSun"/>
        </w:rPr>
        <w:t>-</w:t>
      </w:r>
      <w:r w:rsidRPr="00D0179E">
        <w:t>h</w:t>
      </w:r>
      <w:r w:rsidR="00A34B68" w:rsidRPr="00D0179E">
        <w:rPr>
          <w:rFonts w:eastAsia="SimSun"/>
        </w:rPr>
        <w:t>o</w:t>
      </w:r>
      <w:r w:rsidRPr="00D0179E">
        <w:t xml:space="preserve">rizontal Merger Notice, OJ </w:t>
      </w:r>
      <w:r w:rsidRPr="00D0179E">
        <w:rPr>
          <w:rFonts w:eastAsia="EUAlbertina"/>
          <w:sz w:val="19"/>
          <w:szCs w:val="19"/>
          <w:lang w:bidi="ar-SA"/>
        </w:rPr>
        <w:t xml:space="preserve">C 265/6, p.11, </w:t>
      </w:r>
      <w:proofErr w:type="gramStart"/>
      <w:r w:rsidRPr="00D0179E">
        <w:rPr>
          <w:rFonts w:eastAsia="EUAlbertina"/>
          <w:sz w:val="19"/>
          <w:szCs w:val="19"/>
          <w:lang w:bidi="ar-SA"/>
        </w:rPr>
        <w:t>fn</w:t>
      </w:r>
      <w:proofErr w:type="gramEnd"/>
      <w:r w:rsidRPr="00D0179E">
        <w:rPr>
          <w:rFonts w:eastAsia="EUAlbertina"/>
          <w:sz w:val="19"/>
          <w:szCs w:val="19"/>
          <w:lang w:bidi="ar-SA"/>
        </w:rPr>
        <w:t xml:space="preserve"> 2. </w:t>
      </w:r>
    </w:p>
  </w:footnote>
  <w:footnote w:id="57">
    <w:p w:rsidR="005D0093" w:rsidRPr="00D0179E" w:rsidRDefault="005D0093" w:rsidP="005D0093">
      <w:pPr>
        <w:pStyle w:val="Footnote"/>
        <w:rPr>
          <w:rFonts w:eastAsia="SimSun"/>
        </w:rPr>
      </w:pPr>
      <w:r w:rsidRPr="00D0179E">
        <w:rPr>
          <w:rStyle w:val="FootnoteReference"/>
        </w:rPr>
        <w:footnoteRef/>
      </w:r>
      <w:r w:rsidRPr="00D0179E">
        <w:t xml:space="preserve"> </w:t>
      </w:r>
      <w:proofErr w:type="gramStart"/>
      <w:r w:rsidRPr="00D0179E">
        <w:t>Non</w:t>
      </w:r>
      <w:r w:rsidRPr="00D0179E">
        <w:rPr>
          <w:rFonts w:eastAsia="SimSun"/>
        </w:rPr>
        <w:t>-</w:t>
      </w:r>
      <w:r w:rsidRPr="00D0179E">
        <w:t>h</w:t>
      </w:r>
      <w:r w:rsidRPr="00D0179E">
        <w:rPr>
          <w:rFonts w:eastAsia="SimSun"/>
        </w:rPr>
        <w:t>o</w:t>
      </w:r>
      <w:r w:rsidRPr="00D0179E">
        <w:t>rizontal Merger Notice</w:t>
      </w:r>
      <w:r w:rsidRPr="00D0179E">
        <w:rPr>
          <w:rFonts w:eastAsia="SimSun"/>
        </w:rPr>
        <w:t>, para 31-32.</w:t>
      </w:r>
      <w:proofErr w:type="gramEnd"/>
    </w:p>
  </w:footnote>
  <w:footnote w:id="58">
    <w:p w:rsidR="00BF762F" w:rsidRPr="00D0179E" w:rsidRDefault="00BF762F" w:rsidP="005D0093">
      <w:pPr>
        <w:pStyle w:val="Footnote"/>
      </w:pPr>
      <w:r w:rsidRPr="00D0179E">
        <w:rPr>
          <w:rStyle w:val="FootnoteReference"/>
          <w:rFonts w:cs="Times New Roman"/>
        </w:rPr>
        <w:footnoteRef/>
      </w:r>
      <w:r w:rsidRPr="00D0179E">
        <w:t xml:space="preserve"> </w:t>
      </w:r>
      <w:r w:rsidR="00D17280" w:rsidRPr="00D0179E">
        <w:t xml:space="preserve">Case </w:t>
      </w:r>
      <w:r w:rsidRPr="00D0179E">
        <w:t xml:space="preserve">M.4404 - </w:t>
      </w:r>
      <w:r w:rsidRPr="00D0179E">
        <w:rPr>
          <w:i/>
        </w:rPr>
        <w:t xml:space="preserve">UNIVERSAL MUSIC GROUP / </w:t>
      </w:r>
      <w:smartTag w:uri="urn:schemas-microsoft-com:office:smarttags" w:element="stockticker">
        <w:r w:rsidRPr="00D0179E">
          <w:rPr>
            <w:i/>
          </w:rPr>
          <w:t>BMG</w:t>
        </w:r>
      </w:smartTag>
      <w:r w:rsidRPr="00D0179E">
        <w:rPr>
          <w:i/>
        </w:rPr>
        <w:t xml:space="preserve"> MUSIC PUBLISHING</w:t>
      </w:r>
      <w:r w:rsidR="00D17280" w:rsidRPr="00D0179E">
        <w:t>, http://ec.europa.eu/competition/mergers/cases/decisions/m4404_20070522_20600_en.pdf</w:t>
      </w:r>
      <w:r w:rsidRPr="00D0179E">
        <w:t xml:space="preserve"> </w:t>
      </w:r>
    </w:p>
  </w:footnote>
  <w:footnote w:id="59">
    <w:p w:rsidR="00210BE3" w:rsidRPr="00D0179E" w:rsidRDefault="00210BE3" w:rsidP="00282243">
      <w:pPr>
        <w:pStyle w:val="Footnote"/>
      </w:pPr>
      <w:r w:rsidRPr="00D0179E">
        <w:rPr>
          <w:rStyle w:val="FootnoteReference"/>
          <w:rFonts w:cs="Times New Roman"/>
        </w:rPr>
        <w:footnoteRef/>
      </w:r>
      <w:r w:rsidRPr="00D0179E">
        <w:t xml:space="preserve"> Bruce Lyons &amp; Andrei Medvedev, “Bargaining over Remedies in Merger Regulation”, (2007) CCP working Paper 07-3, 2, available at </w:t>
      </w:r>
      <w:hyperlink r:id="rId11" w:history="1">
        <w:r w:rsidRPr="00D0179E">
          <w:t>http://ssrn.com/abstract=970250</w:t>
        </w:r>
      </w:hyperlink>
      <w:r w:rsidRPr="00D0179E">
        <w:t>, accessed on 28 March 2011.</w:t>
      </w:r>
    </w:p>
  </w:footnote>
  <w:footnote w:id="60">
    <w:p w:rsidR="0048170F" w:rsidRPr="00D0179E" w:rsidRDefault="0048170F" w:rsidP="00282243">
      <w:pPr>
        <w:pStyle w:val="Footnote"/>
      </w:pPr>
      <w:r w:rsidRPr="00D0179E">
        <w:rPr>
          <w:rStyle w:val="FootnoteReference"/>
          <w:rFonts w:cs="Times New Roman"/>
        </w:rPr>
        <w:footnoteRef/>
      </w:r>
      <w:r w:rsidRPr="00D0179E">
        <w:t xml:space="preserve"> Merger Remedy Notice, </w:t>
      </w:r>
      <w:r w:rsidR="00C323B2" w:rsidRPr="00D0179E">
        <w:t>para.9.</w:t>
      </w:r>
    </w:p>
  </w:footnote>
  <w:footnote w:id="61">
    <w:p w:rsidR="00CE1439" w:rsidRPr="00D0179E" w:rsidRDefault="00CE1439" w:rsidP="00CE1439">
      <w:pPr>
        <w:pStyle w:val="Footnote"/>
      </w:pPr>
      <w:r w:rsidRPr="00D0179E">
        <w:rPr>
          <w:rStyle w:val="FootnoteReference"/>
          <w:rFonts w:cs="Times New Roman"/>
        </w:rPr>
        <w:footnoteRef/>
      </w:r>
      <w:r w:rsidRPr="00D0179E">
        <w:t xml:space="preserve"> Merger Remedy Notice, para. 13.</w:t>
      </w:r>
    </w:p>
  </w:footnote>
  <w:footnote w:id="62">
    <w:p w:rsidR="00E041FF" w:rsidRPr="00D0179E" w:rsidRDefault="00E041FF" w:rsidP="00E041FF">
      <w:pPr>
        <w:pStyle w:val="Footnote"/>
        <w:rPr>
          <w:rFonts w:eastAsia="SimSun"/>
        </w:rPr>
      </w:pPr>
      <w:r w:rsidRPr="00D0179E">
        <w:rPr>
          <w:rStyle w:val="FootnoteReference"/>
        </w:rPr>
        <w:footnoteRef/>
      </w:r>
      <w:r w:rsidRPr="00D0179E">
        <w:t xml:space="preserve"> </w:t>
      </w:r>
      <w:r w:rsidRPr="00D0179E">
        <w:rPr>
          <w:rFonts w:eastAsia="SimSun"/>
        </w:rPr>
        <w:t>EU Merger Remedies Notice</w:t>
      </w:r>
      <w:r w:rsidR="00FF5A1B" w:rsidRPr="00D0179E">
        <w:rPr>
          <w:rFonts w:eastAsia="SimSun"/>
        </w:rPr>
        <w:t xml:space="preserve">, para. 38. </w:t>
      </w:r>
    </w:p>
  </w:footnote>
  <w:footnote w:id="63">
    <w:p w:rsidR="003C0B31" w:rsidRPr="00D0179E" w:rsidRDefault="003C0B31" w:rsidP="003C0B31">
      <w:pPr>
        <w:pStyle w:val="Footnote"/>
      </w:pPr>
      <w:r w:rsidRPr="00D0179E">
        <w:rPr>
          <w:rStyle w:val="FootnoteReference"/>
          <w:rFonts w:cs="Times New Roman"/>
        </w:rPr>
        <w:footnoteRef/>
      </w:r>
      <w:r w:rsidRPr="00D0179E">
        <w:t xml:space="preserve"> Merger Remedy Notice, para.38. </w:t>
      </w:r>
    </w:p>
  </w:footnote>
  <w:footnote w:id="64">
    <w:p w:rsidR="001A5793" w:rsidRPr="00D0179E" w:rsidRDefault="001A5793" w:rsidP="001A5793">
      <w:pPr>
        <w:pStyle w:val="Footnote"/>
        <w:rPr>
          <w:rFonts w:eastAsia="SimSun"/>
        </w:rPr>
      </w:pPr>
      <w:r w:rsidRPr="00D0179E">
        <w:rPr>
          <w:rStyle w:val="FootnoteReference"/>
        </w:rPr>
        <w:footnoteRef/>
      </w:r>
      <w:r w:rsidRPr="00D0179E">
        <w:t xml:space="preserve"> </w:t>
      </w:r>
      <w:proofErr w:type="gramStart"/>
      <w:r w:rsidRPr="00D0179E">
        <w:rPr>
          <w:lang w:bidi="ar-SA"/>
        </w:rPr>
        <w:t>Case No COMP/M.3593</w:t>
      </w:r>
      <w:r w:rsidRPr="00D0179E">
        <w:rPr>
          <w:rFonts w:eastAsia="SimSun"/>
          <w:lang w:bidi="ar-SA"/>
        </w:rPr>
        <w:t xml:space="preserve">, </w:t>
      </w:r>
      <w:r w:rsidRPr="00D0179E">
        <w:rPr>
          <w:lang w:bidi="ar-SA"/>
        </w:rPr>
        <w:t>APOLLO / BAKELITE</w:t>
      </w:r>
      <w:r w:rsidRPr="00D0179E">
        <w:rPr>
          <w:rFonts w:eastAsia="SimSun"/>
          <w:lang w:bidi="ar-SA"/>
        </w:rPr>
        <w:t>.</w:t>
      </w:r>
      <w:proofErr w:type="gramEnd"/>
    </w:p>
  </w:footnote>
  <w:footnote w:id="65">
    <w:p w:rsidR="0020450F" w:rsidRPr="00D0179E" w:rsidRDefault="0020450F" w:rsidP="0020450F">
      <w:pPr>
        <w:pStyle w:val="Footnote"/>
        <w:rPr>
          <w:rFonts w:eastAsia="SimSun"/>
        </w:rPr>
      </w:pPr>
      <w:r w:rsidRPr="00D0179E">
        <w:rPr>
          <w:rStyle w:val="FootnoteReference"/>
        </w:rPr>
        <w:footnoteRef/>
      </w:r>
      <w:r w:rsidRPr="00D0179E">
        <w:t xml:space="preserve"> </w:t>
      </w:r>
      <w:r w:rsidRPr="00D0179E">
        <w:rPr>
          <w:lang w:bidi="ar-SA"/>
        </w:rPr>
        <w:t>COMMISSION DECISION</w:t>
      </w:r>
      <w:r w:rsidRPr="00D0179E">
        <w:rPr>
          <w:rFonts w:eastAsia="SimSun"/>
          <w:lang w:bidi="ar-SA"/>
        </w:rPr>
        <w:t xml:space="preserve"> </w:t>
      </w:r>
      <w:r w:rsidRPr="00D0179E">
        <w:rPr>
          <w:lang w:bidi="ar-SA"/>
        </w:rPr>
        <w:t>of 3.5.2011</w:t>
      </w:r>
      <w:r w:rsidRPr="00D0179E">
        <w:rPr>
          <w:rFonts w:eastAsia="SimSun"/>
          <w:lang w:bidi="ar-SA"/>
        </w:rPr>
        <w:t xml:space="preserve"> </w:t>
      </w:r>
      <w:r w:rsidRPr="00D0179E">
        <w:rPr>
          <w:lang w:bidi="ar-SA"/>
        </w:rPr>
        <w:t>waiving certain commitments in Decision 98/526/EC in Case No IV/M.950 -HOFFMANN - LA ROCHE / BOEHRINGER MANNHEIM with respect to the DNA</w:t>
      </w:r>
      <w:r w:rsidRPr="00D0179E">
        <w:rPr>
          <w:rFonts w:eastAsia="SimSun"/>
          <w:lang w:bidi="ar-SA"/>
        </w:rPr>
        <w:t xml:space="preserve"> </w:t>
      </w:r>
      <w:r w:rsidRPr="00D0179E">
        <w:rPr>
          <w:lang w:bidi="ar-SA"/>
        </w:rPr>
        <w:t>probes market</w:t>
      </w:r>
      <w:r w:rsidRPr="00D0179E">
        <w:rPr>
          <w:rFonts w:eastAsia="SimSun"/>
          <w:lang w:bidi="ar-SA"/>
        </w:rPr>
        <w:t xml:space="preserve">, available at: </w:t>
      </w:r>
      <w:hyperlink r:id="rId12" w:history="1">
        <w:r w:rsidRPr="00D0179E">
          <w:rPr>
            <w:rStyle w:val="Hyperlink"/>
          </w:rPr>
          <w:t>http://ec.europa.eu/competition/mergers/cases/decisions/m950_20110504_600_1828017_EN.pdf</w:t>
        </w:r>
      </w:hyperlink>
      <w:r w:rsidRPr="00D0179E">
        <w:rPr>
          <w:rFonts w:eastAsia="SimSun"/>
        </w:rPr>
        <w:t xml:space="preserve">. </w:t>
      </w:r>
      <w:proofErr w:type="gramStart"/>
      <w:r w:rsidR="00106B8F" w:rsidRPr="00D0179E">
        <w:rPr>
          <w:rFonts w:eastAsia="SimSun"/>
        </w:rPr>
        <w:t>para</w:t>
      </w:r>
      <w:proofErr w:type="gramEnd"/>
      <w:r w:rsidR="00106B8F" w:rsidRPr="00D0179E">
        <w:rPr>
          <w:rFonts w:eastAsia="SimSun"/>
        </w:rPr>
        <w:t>. 9.</w:t>
      </w:r>
    </w:p>
  </w:footnote>
  <w:footnote w:id="66">
    <w:p w:rsidR="006F0D0A" w:rsidRPr="00D0179E" w:rsidRDefault="006F0D0A" w:rsidP="006F0D0A">
      <w:pPr>
        <w:pStyle w:val="Footnote"/>
        <w:rPr>
          <w:lang w:bidi="ar-SA"/>
        </w:rPr>
      </w:pPr>
      <w:r w:rsidRPr="00D0179E">
        <w:rPr>
          <w:rStyle w:val="FootnoteReference"/>
        </w:rPr>
        <w:footnoteRef/>
      </w:r>
      <w:r w:rsidRPr="00D0179E">
        <w:t xml:space="preserve"> </w:t>
      </w:r>
      <w:r w:rsidRPr="00D0179E">
        <w:rPr>
          <w:rFonts w:eastAsia="SimSun"/>
        </w:rPr>
        <w:t xml:space="preserve">See the Commission, </w:t>
      </w:r>
      <w:r w:rsidRPr="00D0179E">
        <w:rPr>
          <w:lang w:bidi="ar-SA"/>
        </w:rPr>
        <w:t>El</w:t>
      </w:r>
      <w:r w:rsidRPr="00D0179E">
        <w:rPr>
          <w:rFonts w:eastAsia="SimSun"/>
          <w:lang w:bidi="ar-SA"/>
        </w:rPr>
        <w:t>ev</w:t>
      </w:r>
      <w:r w:rsidRPr="00D0179E">
        <w:rPr>
          <w:lang w:bidi="ar-SA"/>
        </w:rPr>
        <w:t>en</w:t>
      </w:r>
      <w:r w:rsidRPr="00D0179E">
        <w:rPr>
          <w:rFonts w:eastAsia="SimSun"/>
          <w:lang w:bidi="ar-SA"/>
        </w:rPr>
        <w:t>t</w:t>
      </w:r>
      <w:r w:rsidRPr="00D0179E">
        <w:rPr>
          <w:lang w:bidi="ar-SA"/>
        </w:rPr>
        <w:t>h</w:t>
      </w:r>
      <w:r w:rsidRPr="00D0179E">
        <w:rPr>
          <w:rFonts w:eastAsia="SimSun"/>
          <w:lang w:bidi="ar-SA"/>
        </w:rPr>
        <w:t xml:space="preserve"> </w:t>
      </w:r>
      <w:r w:rsidRPr="00D0179E">
        <w:rPr>
          <w:lang w:bidi="ar-SA"/>
        </w:rPr>
        <w:t xml:space="preserve">Report On Competition Policy </w:t>
      </w:r>
      <w:r w:rsidRPr="00D0179E">
        <w:rPr>
          <w:szCs w:val="16"/>
        </w:rPr>
        <w:t>1981</w:t>
      </w:r>
      <w:r w:rsidRPr="00D0179E">
        <w:rPr>
          <w:b/>
          <w:bCs/>
          <w:lang w:bidi="ar-SA"/>
        </w:rPr>
        <w:t xml:space="preserve">, </w:t>
      </w:r>
      <w:r w:rsidRPr="00D0179E">
        <w:rPr>
          <w:lang w:bidi="ar-SA"/>
        </w:rPr>
        <w:t xml:space="preserve">at </w:t>
      </w:r>
      <w:r w:rsidRPr="00D0179E">
        <w:rPr>
          <w:szCs w:val="16"/>
        </w:rPr>
        <w:t>63</w:t>
      </w:r>
      <w:r w:rsidRPr="00D0179E">
        <w:rPr>
          <w:b/>
          <w:bCs/>
          <w:lang w:bidi="ar-SA"/>
        </w:rPr>
        <w:t>-</w:t>
      </w:r>
      <w:r w:rsidRPr="00D0179E">
        <w:rPr>
          <w:szCs w:val="16"/>
        </w:rPr>
        <w:t>64</w:t>
      </w:r>
      <w:r w:rsidRPr="00D0179E">
        <w:rPr>
          <w:b/>
          <w:bCs/>
          <w:lang w:bidi="ar-SA"/>
        </w:rPr>
        <w:t xml:space="preserve">, </w:t>
      </w:r>
      <w:r w:rsidRPr="00D0179E">
        <w:rPr>
          <w:lang w:bidi="ar-SA"/>
        </w:rPr>
        <w:t>§ 94 (1982)</w:t>
      </w:r>
    </w:p>
  </w:footnote>
  <w:footnote w:id="67">
    <w:p w:rsidR="00F347B4" w:rsidRPr="00D0179E" w:rsidRDefault="00F347B4" w:rsidP="00F347B4">
      <w:pPr>
        <w:pStyle w:val="Footnote"/>
        <w:rPr>
          <w:rFonts w:eastAsia="SimSun"/>
        </w:rPr>
      </w:pPr>
      <w:r w:rsidRPr="00D0179E">
        <w:rPr>
          <w:rStyle w:val="FootnoteReference"/>
        </w:rPr>
        <w:footnoteRef/>
      </w:r>
      <w:r w:rsidRPr="00D0179E">
        <w:t xml:space="preserve"> </w:t>
      </w:r>
      <w:proofErr w:type="spellStart"/>
      <w:r w:rsidRPr="00D0179E">
        <w:rPr>
          <w:lang w:bidi="ar-SA"/>
        </w:rPr>
        <w:t>Makan</w:t>
      </w:r>
      <w:proofErr w:type="spellEnd"/>
      <w:r w:rsidRPr="00D0179E">
        <w:rPr>
          <w:lang w:bidi="ar-SA"/>
        </w:rPr>
        <w:t xml:space="preserve"> </w:t>
      </w:r>
      <w:proofErr w:type="spellStart"/>
      <w:r w:rsidRPr="00D0179E">
        <w:rPr>
          <w:lang w:bidi="ar-SA"/>
        </w:rPr>
        <w:t>Delrahim</w:t>
      </w:r>
      <w:proofErr w:type="spellEnd"/>
      <w:r w:rsidRPr="00D0179E">
        <w:rPr>
          <w:rFonts w:eastAsia="SimSun"/>
          <w:lang w:bidi="ar-SA"/>
        </w:rPr>
        <w:t xml:space="preserve">, </w:t>
      </w:r>
      <w:r w:rsidRPr="00D0179E">
        <w:rPr>
          <w:lang w:bidi="ar-SA"/>
        </w:rPr>
        <w:t xml:space="preserve">Forcing Firms To Share </w:t>
      </w:r>
      <w:r w:rsidRPr="00D0179E">
        <w:rPr>
          <w:rFonts w:eastAsia="SimSun"/>
          <w:lang w:bidi="ar-SA"/>
        </w:rPr>
        <w:t>t</w:t>
      </w:r>
      <w:r w:rsidRPr="00D0179E">
        <w:rPr>
          <w:lang w:bidi="ar-SA"/>
        </w:rPr>
        <w:t>he Sandbox:</w:t>
      </w:r>
      <w:r w:rsidRPr="00D0179E">
        <w:rPr>
          <w:rFonts w:eastAsia="SimSun"/>
          <w:lang w:bidi="ar-SA"/>
        </w:rPr>
        <w:t xml:space="preserve"> </w:t>
      </w:r>
      <w:r w:rsidRPr="00D0179E">
        <w:rPr>
          <w:lang w:bidi="ar-SA"/>
        </w:rPr>
        <w:t xml:space="preserve">Compulsory Licensing </w:t>
      </w:r>
      <w:r w:rsidRPr="00D0179E">
        <w:rPr>
          <w:rFonts w:eastAsia="SimSun"/>
          <w:lang w:bidi="ar-SA"/>
        </w:rPr>
        <w:t>o</w:t>
      </w:r>
      <w:r w:rsidRPr="00D0179E">
        <w:rPr>
          <w:lang w:bidi="ar-SA"/>
        </w:rPr>
        <w:t>f Intellectual Property Rights</w:t>
      </w:r>
      <w:r w:rsidRPr="00D0179E">
        <w:rPr>
          <w:rFonts w:eastAsia="SimSun"/>
          <w:lang w:bidi="ar-SA"/>
        </w:rPr>
        <w:t xml:space="preserve"> a</w:t>
      </w:r>
      <w:r w:rsidRPr="00D0179E">
        <w:rPr>
          <w:lang w:bidi="ar-SA"/>
        </w:rPr>
        <w:t>nd Antitrust</w:t>
      </w:r>
      <w:r w:rsidRPr="00D0179E">
        <w:rPr>
          <w:rFonts w:eastAsia="SimSun"/>
          <w:lang w:bidi="ar-SA"/>
        </w:rPr>
        <w:t xml:space="preserve">, Presentation at the </w:t>
      </w:r>
      <w:r w:rsidRPr="00D0179E">
        <w:rPr>
          <w:lang w:bidi="ar-SA"/>
        </w:rPr>
        <w:t>British Institute of International and Comparative Law</w:t>
      </w:r>
      <w:r w:rsidRPr="00D0179E">
        <w:rPr>
          <w:rFonts w:eastAsia="SimSun"/>
          <w:lang w:bidi="ar-SA"/>
        </w:rPr>
        <w:t xml:space="preserve"> </w:t>
      </w:r>
      <w:r w:rsidRPr="00D0179E">
        <w:rPr>
          <w:lang w:bidi="ar-SA"/>
        </w:rPr>
        <w:t>London, England</w:t>
      </w:r>
      <w:r w:rsidRPr="00D0179E">
        <w:rPr>
          <w:rFonts w:eastAsia="SimSun"/>
          <w:lang w:bidi="ar-SA"/>
        </w:rPr>
        <w:t xml:space="preserve">, </w:t>
      </w:r>
      <w:r w:rsidRPr="00D0179E">
        <w:rPr>
          <w:lang w:bidi="ar-SA"/>
        </w:rPr>
        <w:t>May 10, 2004</w:t>
      </w:r>
      <w:r w:rsidRPr="00D0179E">
        <w:rPr>
          <w:rFonts w:eastAsia="SimSun"/>
          <w:lang w:bidi="ar-SA"/>
        </w:rPr>
        <w:t xml:space="preserve">, </w:t>
      </w:r>
      <w:hyperlink r:id="rId13" w:history="1">
        <w:r w:rsidRPr="00D0179E">
          <w:rPr>
            <w:rStyle w:val="Hyperlink"/>
          </w:rPr>
          <w:t>http://www.justice.gov/atr/public/speeches/203627.htm</w:t>
        </w:r>
      </w:hyperlink>
    </w:p>
  </w:footnote>
  <w:footnote w:id="68">
    <w:p w:rsidR="008B3798" w:rsidRPr="00D0179E" w:rsidRDefault="008B3798" w:rsidP="008B3798">
      <w:pPr>
        <w:pStyle w:val="Footnote"/>
      </w:pPr>
      <w:r w:rsidRPr="00D0179E">
        <w:rPr>
          <w:rStyle w:val="FootnoteReference"/>
        </w:rPr>
        <w:footnoteRef/>
      </w:r>
      <w:r w:rsidRPr="00D0179E">
        <w:t xml:space="preserve"> </w:t>
      </w:r>
      <w:proofErr w:type="spellStart"/>
      <w:r w:rsidRPr="00D0179E">
        <w:rPr>
          <w:rFonts w:ascii="TimesNRMT" w:hAnsi="TimesNRMT" w:cs="TimesNRMT"/>
          <w:szCs w:val="20"/>
          <w:lang w:bidi="ar-SA"/>
        </w:rPr>
        <w:t>Benoît</w:t>
      </w:r>
      <w:proofErr w:type="spellEnd"/>
      <w:r w:rsidRPr="00D0179E">
        <w:rPr>
          <w:rFonts w:ascii="TimesNRMT" w:hAnsi="TimesNRMT" w:cs="TimesNRMT"/>
          <w:szCs w:val="20"/>
          <w:lang w:bidi="ar-SA"/>
        </w:rPr>
        <w:t xml:space="preserve"> Durand</w:t>
      </w:r>
      <w:r w:rsidRPr="00D0179E">
        <w:rPr>
          <w:rFonts w:ascii="TimesNRMT" w:eastAsia="SimSun" w:hAnsi="TimesNRMT" w:cs="TimesNRMT"/>
          <w:szCs w:val="20"/>
          <w:lang w:bidi="ar-SA"/>
        </w:rPr>
        <w:t xml:space="preserve">, </w:t>
      </w:r>
      <w:r w:rsidRPr="00D0179E">
        <w:rPr>
          <w:rFonts w:ascii="TimesNRMT-Italic" w:hAnsi="TimesNRMT-Italic" w:cs="TimesNRMT-Italic"/>
          <w:i/>
          <w:iCs/>
          <w:szCs w:val="20"/>
          <w:lang w:bidi="ar-SA"/>
        </w:rPr>
        <w:t>Intellectual Property and Merger</w:t>
      </w:r>
      <w:r w:rsidRPr="00D0179E">
        <w:rPr>
          <w:rFonts w:ascii="TimesNRMT-Italic" w:eastAsia="SimSun" w:hAnsi="TimesNRMT-Italic" w:cs="TimesNRMT-Italic"/>
          <w:i/>
          <w:iCs/>
          <w:szCs w:val="20"/>
          <w:lang w:bidi="ar-SA"/>
        </w:rPr>
        <w:t xml:space="preserve"> </w:t>
      </w:r>
      <w:r w:rsidRPr="00D0179E">
        <w:rPr>
          <w:rFonts w:ascii="TimesNRMT-Italic" w:hAnsi="TimesNRMT-Italic" w:cs="TimesNRMT-Italic"/>
          <w:i/>
          <w:iCs/>
          <w:szCs w:val="20"/>
          <w:lang w:bidi="ar-SA"/>
        </w:rPr>
        <w:t>Control: Review of the Recent Experience under the</w:t>
      </w:r>
      <w:r w:rsidRPr="00D0179E">
        <w:rPr>
          <w:rFonts w:ascii="TimesNRMT-Italic" w:eastAsia="SimSun" w:hAnsi="TimesNRMT-Italic" w:cs="TimesNRMT-Italic"/>
          <w:i/>
          <w:iCs/>
          <w:szCs w:val="20"/>
          <w:lang w:bidi="ar-SA"/>
        </w:rPr>
        <w:t xml:space="preserve"> </w:t>
      </w:r>
      <w:r w:rsidRPr="00D0179E">
        <w:rPr>
          <w:rFonts w:ascii="TimesNRMT-Italic" w:hAnsi="TimesNRMT-Italic" w:cs="TimesNRMT-Italic"/>
          <w:i/>
          <w:iCs/>
          <w:szCs w:val="20"/>
          <w:lang w:bidi="ar-SA"/>
        </w:rPr>
        <w:t>European Merger Regulation</w:t>
      </w:r>
      <w:r w:rsidRPr="00D0179E">
        <w:rPr>
          <w:rFonts w:ascii="TimesNRMT-Italic" w:eastAsia="SimSun" w:hAnsi="TimesNRMT-Italic" w:cs="TimesNRMT-Italic"/>
          <w:i/>
          <w:iCs/>
          <w:szCs w:val="20"/>
          <w:lang w:bidi="ar-SA"/>
        </w:rPr>
        <w:t xml:space="preserve">, </w:t>
      </w:r>
      <w:r w:rsidRPr="00D0179E">
        <w:t xml:space="preserve">in Claus-Dieter </w:t>
      </w:r>
      <w:proofErr w:type="spellStart"/>
      <w:r w:rsidRPr="00D0179E">
        <w:t>Ehlermann</w:t>
      </w:r>
      <w:proofErr w:type="spellEnd"/>
      <w:r w:rsidRPr="00D0179E">
        <w:t xml:space="preserve"> and Isabela </w:t>
      </w:r>
      <w:proofErr w:type="spellStart"/>
      <w:r w:rsidRPr="00D0179E">
        <w:t>Atanasiu</w:t>
      </w:r>
      <w:proofErr w:type="spellEnd"/>
      <w:r w:rsidRPr="00D0179E">
        <w:t xml:space="preserve"> (</w:t>
      </w:r>
      <w:proofErr w:type="spellStart"/>
      <w:proofErr w:type="gramStart"/>
      <w:r w:rsidRPr="00D0179E">
        <w:t>ed</w:t>
      </w:r>
      <w:proofErr w:type="spellEnd"/>
      <w:proofErr w:type="gramEnd"/>
      <w:r w:rsidRPr="00D0179E">
        <w:t>), European Competition Law Annual 2005, p. 475-494.</w:t>
      </w:r>
    </w:p>
  </w:footnote>
  <w:footnote w:id="69">
    <w:p w:rsidR="00D005BD" w:rsidRPr="00D0179E" w:rsidRDefault="00D005BD" w:rsidP="001B18A2">
      <w:pPr>
        <w:pStyle w:val="Footnote"/>
      </w:pPr>
      <w:r w:rsidRPr="00D0179E">
        <w:rPr>
          <w:rStyle w:val="FootnoteReference"/>
        </w:rPr>
        <w:footnoteRef/>
      </w:r>
      <w:r w:rsidRPr="00D0179E">
        <w:t xml:space="preserve"> Merger Remedies Notice, para. 38. </w:t>
      </w:r>
    </w:p>
  </w:footnote>
  <w:footnote w:id="70">
    <w:p w:rsidR="00F60B89" w:rsidRPr="00D0179E" w:rsidRDefault="00F60B89" w:rsidP="00F60B89">
      <w:pPr>
        <w:pStyle w:val="Footnote"/>
        <w:rPr>
          <w:rFonts w:eastAsia="SimSun"/>
        </w:rPr>
      </w:pPr>
      <w:r w:rsidRPr="00D0179E">
        <w:rPr>
          <w:rStyle w:val="FootnoteReference"/>
        </w:rPr>
        <w:footnoteRef/>
      </w:r>
      <w:r w:rsidRPr="00D0179E">
        <w:t xml:space="preserve"> </w:t>
      </w:r>
      <w:r w:rsidRPr="00D0179E">
        <w:rPr>
          <w:rFonts w:eastAsia="SimSun"/>
        </w:rPr>
        <w:t xml:space="preserve">2011 </w:t>
      </w:r>
      <w:r w:rsidRPr="00D0179E">
        <w:rPr>
          <w:rFonts w:eastAsia="SimSun"/>
          <w:lang w:bidi="ar-SA"/>
        </w:rPr>
        <w:t>US DOJ Guide to Merger Remedies, Part II.B.3.</w:t>
      </w:r>
    </w:p>
  </w:footnote>
  <w:footnote w:id="71">
    <w:p w:rsidR="00315528" w:rsidRPr="00D0179E" w:rsidRDefault="00315528" w:rsidP="00B75CD8">
      <w:pPr>
        <w:pStyle w:val="Footnote"/>
      </w:pPr>
      <w:r w:rsidRPr="00D0179E">
        <w:rPr>
          <w:rStyle w:val="FootnoteReference"/>
        </w:rPr>
        <w:footnoteRef/>
      </w:r>
      <w:r w:rsidRPr="00D0179E">
        <w:t xml:space="preserve"> </w:t>
      </w:r>
      <w:proofErr w:type="spellStart"/>
      <w:proofErr w:type="gramStart"/>
      <w:r w:rsidRPr="00D0179E">
        <w:t>Trinko</w:t>
      </w:r>
      <w:proofErr w:type="spellEnd"/>
      <w:r w:rsidRPr="00D0179E">
        <w:t>, 124 S. Ct. at 882.</w:t>
      </w:r>
      <w:proofErr w:type="gramEnd"/>
      <w:r w:rsidRPr="00D0179E">
        <w:t xml:space="preserve"> </w:t>
      </w:r>
    </w:p>
  </w:footnote>
  <w:footnote w:id="72">
    <w:p w:rsidR="006A55A4" w:rsidRPr="00D0179E" w:rsidRDefault="006A55A4" w:rsidP="006A55A4">
      <w:pPr>
        <w:pStyle w:val="Footnote"/>
      </w:pPr>
      <w:r w:rsidRPr="00D0179E">
        <w:rPr>
          <w:rStyle w:val="FootnoteReference"/>
          <w:rFonts w:cs="Times New Roman"/>
        </w:rPr>
        <w:footnoteRef/>
      </w:r>
      <w:r w:rsidRPr="00D0179E">
        <w:t xml:space="preserve"> Marcus </w:t>
      </w:r>
      <w:proofErr w:type="spellStart"/>
      <w:r w:rsidRPr="00D0179E">
        <w:t>Glader</w:t>
      </w:r>
      <w:proofErr w:type="spellEnd"/>
      <w:r w:rsidRPr="00D0179E">
        <w:t>, Innovation markets and competition analysis: EU competition law and US antitrust law, Edward Elgar Publishing, 2006, pp.5.</w:t>
      </w:r>
    </w:p>
  </w:footnote>
  <w:footnote w:id="73">
    <w:p w:rsidR="00682B55" w:rsidRPr="00D0179E" w:rsidRDefault="00682B55" w:rsidP="00682B55">
      <w:pPr>
        <w:pStyle w:val="Footnote"/>
      </w:pPr>
      <w:r w:rsidRPr="00D0179E">
        <w:rPr>
          <w:rStyle w:val="FootnoteReference"/>
        </w:rPr>
        <w:footnoteRef/>
      </w:r>
      <w:r w:rsidRPr="00D0179E">
        <w:t xml:space="preserve"> </w:t>
      </w:r>
    </w:p>
  </w:footnote>
  <w:footnote w:id="74">
    <w:p w:rsidR="00682B55" w:rsidRPr="00D0179E" w:rsidRDefault="00682B55" w:rsidP="00682B55">
      <w:pPr>
        <w:pStyle w:val="Footnote"/>
      </w:pPr>
      <w:r w:rsidRPr="00D0179E">
        <w:rPr>
          <w:rStyle w:val="FootnoteReference"/>
        </w:rPr>
        <w:footnoteRef/>
      </w:r>
      <w:r w:rsidRPr="00D0179E">
        <w:t xml:space="preserve"> </w:t>
      </w:r>
      <w:hyperlink r:id="rId14" w:history="1">
        <w:r w:rsidRPr="00D0179E">
          <w:t>Reinhilde Veugelers</w:t>
        </w:r>
      </w:hyperlink>
      <w:r w:rsidRPr="00D0179E">
        <w:t>, Innovation in EU merger control: walking the talk, 29th February 2012, available at, http://www.bruegel.org/publications/publication-detail/publication/708-innovation-in-eu-merger-control-walking-the-talk/.</w:t>
      </w:r>
    </w:p>
  </w:footnote>
  <w:footnote w:id="75">
    <w:p w:rsidR="00E55667" w:rsidRPr="00D0179E" w:rsidRDefault="00E55667" w:rsidP="00E55667">
      <w:pPr>
        <w:pStyle w:val="Footnote"/>
      </w:pPr>
      <w:r w:rsidRPr="00D0179E">
        <w:rPr>
          <w:rStyle w:val="FootnoteReference"/>
          <w:rFonts w:cs="Times New Roman"/>
        </w:rPr>
        <w:footnoteRef/>
      </w:r>
      <w:r w:rsidRPr="00D0179E">
        <w:t xml:space="preserve"> Benoit Durand, Intellectual Property and Merger Control: Review of the Recent Experience under the European Merger Regulation,</w:t>
      </w:r>
    </w:p>
  </w:footnote>
  <w:footnote w:id="76">
    <w:p w:rsidR="00682B55" w:rsidRPr="00D0179E" w:rsidRDefault="00682B55" w:rsidP="00682B55">
      <w:pPr>
        <w:pStyle w:val="Footnote"/>
        <w:rPr>
          <w:rFonts w:eastAsia="SimSun"/>
        </w:rPr>
      </w:pPr>
      <w:r w:rsidRPr="00D0179E">
        <w:rPr>
          <w:rStyle w:val="FootnoteReference"/>
        </w:rPr>
        <w:footnoteRef/>
      </w:r>
      <w:r w:rsidRPr="00D0179E">
        <w:t xml:space="preserve"> </w:t>
      </w:r>
      <w:r w:rsidRPr="00D0179E">
        <w:rPr>
          <w:rFonts w:eastAsia="SimSun"/>
        </w:rPr>
        <w:t xml:space="preserve">Robert </w:t>
      </w:r>
      <w:proofErr w:type="spellStart"/>
      <w:r w:rsidRPr="00D0179E">
        <w:rPr>
          <w:rFonts w:eastAsia="SimSun"/>
        </w:rPr>
        <w:t>Pitofsky</w:t>
      </w:r>
      <w:proofErr w:type="spellEnd"/>
      <w:r w:rsidRPr="00D0179E">
        <w:rPr>
          <w:rFonts w:eastAsia="SimSun"/>
        </w:rPr>
        <w:t xml:space="preserve">, Antitrust </w:t>
      </w:r>
      <w:r w:rsidRPr="00D0179E">
        <w:t>Analysis in High-Tech Industries:</w:t>
      </w:r>
      <w:r w:rsidRPr="00D0179E">
        <w:rPr>
          <w:rFonts w:eastAsia="SimSun"/>
        </w:rPr>
        <w:t xml:space="preserve"> </w:t>
      </w:r>
      <w:r w:rsidRPr="00D0179E">
        <w:t>A 19th Century Discipline Addresses 21st Century Problems</w:t>
      </w:r>
      <w:r w:rsidRPr="00D0179E">
        <w:rPr>
          <w:rFonts w:eastAsia="SimSun"/>
        </w:rPr>
        <w:t xml:space="preserve">, Speech given at the ABA, Scottsdale, 25 February 1999, </w:t>
      </w:r>
      <w:hyperlink r:id="rId15" w:history="1">
        <w:r w:rsidRPr="00D0179E">
          <w:rPr>
            <w:rStyle w:val="Hyperlink"/>
          </w:rPr>
          <w:t>http://www.ftc.gov/speeches/pitofsky/hitch.shtm</w:t>
        </w:r>
      </w:hyperlink>
    </w:p>
  </w:footnote>
  <w:footnote w:id="77">
    <w:p w:rsidR="007D2640" w:rsidRPr="00D0179E" w:rsidRDefault="007D2640" w:rsidP="007D2640">
      <w:pPr>
        <w:pStyle w:val="Footnote"/>
        <w:rPr>
          <w:rFonts w:eastAsia="SimSun"/>
        </w:rPr>
      </w:pPr>
      <w:r w:rsidRPr="00D0179E">
        <w:rPr>
          <w:rStyle w:val="FootnoteReference"/>
        </w:rPr>
        <w:footnoteRef/>
      </w:r>
      <w:r w:rsidRPr="00D0179E">
        <w:t xml:space="preserve"> </w:t>
      </w:r>
      <w:r w:rsidRPr="00D0179E">
        <w:rPr>
          <w:rFonts w:eastAsia="SimSun"/>
        </w:rPr>
        <w:t xml:space="preserve">2011 </w:t>
      </w:r>
      <w:r w:rsidRPr="00D0179E">
        <w:rPr>
          <w:rFonts w:eastAsia="SimSun"/>
          <w:lang w:bidi="ar-SA"/>
        </w:rPr>
        <w:t>US DOJ Guide to Merger Remedies, Part II.A.3.</w:t>
      </w:r>
    </w:p>
  </w:footnote>
  <w:footnote w:id="78">
    <w:p w:rsidR="004606B2" w:rsidRPr="00D0179E" w:rsidRDefault="004606B2" w:rsidP="004606B2">
      <w:pPr>
        <w:pStyle w:val="Footnote"/>
        <w:rPr>
          <w:rFonts w:eastAsia="SimSun"/>
        </w:rPr>
      </w:pPr>
      <w:r w:rsidRPr="00D0179E">
        <w:rPr>
          <w:rStyle w:val="FootnoteReference"/>
        </w:rPr>
        <w:footnoteRef/>
      </w:r>
      <w:r w:rsidRPr="00D0179E">
        <w:t xml:space="preserve"> </w:t>
      </w:r>
      <w:r w:rsidRPr="00D0179E">
        <w:rPr>
          <w:rFonts w:eastAsia="SimSun"/>
        </w:rPr>
        <w:t xml:space="preserve">EU Merger Remedies Study, p. 118. </w:t>
      </w:r>
    </w:p>
  </w:footnote>
  <w:footnote w:id="79">
    <w:p w:rsidR="00A128A5" w:rsidRPr="00D0179E" w:rsidRDefault="00A128A5" w:rsidP="00A128A5">
      <w:pPr>
        <w:pStyle w:val="Footnote"/>
      </w:pPr>
      <w:r w:rsidRPr="00D0179E">
        <w:rPr>
          <w:rStyle w:val="FootnoteReference"/>
        </w:rPr>
        <w:footnoteRef/>
      </w:r>
      <w:r w:rsidRPr="00D0179E">
        <w:t xml:space="preserve"> </w:t>
      </w:r>
      <w:r w:rsidR="00512BA8" w:rsidRPr="00D0179E">
        <w:t xml:space="preserve">See, e.g. </w:t>
      </w:r>
      <w:r w:rsidRPr="00D0179E">
        <w:rPr>
          <w:lang w:bidi="ar-SA"/>
        </w:rPr>
        <w:t>Case M.2876, News</w:t>
      </w:r>
      <w:r w:rsidR="00AF30A0">
        <w:rPr>
          <w:lang w:bidi="ar-SA"/>
        </w:rPr>
        <w:t xml:space="preserve"> </w:t>
      </w:r>
      <w:r w:rsidRPr="00D0179E">
        <w:rPr>
          <w:lang w:bidi="ar-SA"/>
        </w:rPr>
        <w:t>Corp/</w:t>
      </w:r>
      <w:proofErr w:type="spellStart"/>
      <w:r w:rsidRPr="00D0179E">
        <w:rPr>
          <w:lang w:bidi="ar-SA"/>
        </w:rPr>
        <w:t>Telepiù</w:t>
      </w:r>
      <w:proofErr w:type="spellEnd"/>
      <w:r w:rsidRPr="00D0179E">
        <w:rPr>
          <w:lang w:bidi="ar-SA"/>
        </w:rPr>
        <w:t xml:space="preserve">, COMMITMENTS TO THE EUROPEAN COMMISSION by </w:t>
      </w:r>
      <w:r w:rsidR="00AF30A0" w:rsidRPr="00D0179E">
        <w:rPr>
          <w:szCs w:val="36"/>
        </w:rPr>
        <w:t>the</w:t>
      </w:r>
      <w:r w:rsidR="00AF30A0">
        <w:rPr>
          <w:rFonts w:ascii="TimesNewRoman,Bold" w:hAnsi="TimesNewRoman,Bold" w:cs="TimesNewRoman,Bold"/>
          <w:b/>
          <w:bCs/>
          <w:sz w:val="36"/>
          <w:szCs w:val="36"/>
          <w:lang w:bidi="ar-SA"/>
        </w:rPr>
        <w:t xml:space="preserve"> </w:t>
      </w:r>
      <w:r w:rsidRPr="00D0179E">
        <w:t>News Corporation Limited, para. 11.6,</w:t>
      </w:r>
    </w:p>
    <w:p w:rsidR="00A128A5" w:rsidRPr="00D0179E" w:rsidRDefault="00A128A5" w:rsidP="00A128A5">
      <w:pPr>
        <w:pStyle w:val="Footnote"/>
        <w:rPr>
          <w:lang w:bidi="ar-SA"/>
        </w:rPr>
      </w:pPr>
      <w:r w:rsidRPr="00D0179E">
        <w:t xml:space="preserve"> “</w:t>
      </w:r>
      <w:r w:rsidRPr="00D0179E">
        <w:rPr>
          <w:lang w:bidi="ar-SA"/>
        </w:rPr>
        <w:t>The price payable for third party access to the services […] shall be determined by the lowest of the prices obtained applying the following principles:</w:t>
      </w:r>
    </w:p>
    <w:p w:rsidR="00A128A5" w:rsidRPr="00D0179E" w:rsidRDefault="00A128A5" w:rsidP="00A128A5">
      <w:pPr>
        <w:pStyle w:val="Footnote"/>
        <w:rPr>
          <w:lang w:bidi="ar-SA"/>
        </w:rPr>
      </w:pPr>
      <w:r w:rsidRPr="00D0179E">
        <w:rPr>
          <w:lang w:bidi="ar-SA"/>
        </w:rPr>
        <w:t>(</w:t>
      </w:r>
      <w:proofErr w:type="spellStart"/>
      <w:r w:rsidRPr="00D0179E">
        <w:rPr>
          <w:lang w:bidi="ar-SA"/>
        </w:rPr>
        <w:t>i</w:t>
      </w:r>
      <w:proofErr w:type="spellEnd"/>
      <w:r w:rsidRPr="00D0179E">
        <w:rPr>
          <w:lang w:bidi="ar-SA"/>
        </w:rPr>
        <w:t>) cost-oriented basis adopting where appropriate a long-run incremental costs approach and including a fair and reasonable contribution to the investment costs of set-top box roll-out and related infrastructure plus a reasonable return.</w:t>
      </w:r>
    </w:p>
    <w:p w:rsidR="00A128A5" w:rsidRPr="00D0179E" w:rsidRDefault="00A128A5" w:rsidP="00A128A5">
      <w:pPr>
        <w:pStyle w:val="Footnote"/>
      </w:pPr>
      <w:r w:rsidRPr="00D0179E">
        <w:rPr>
          <w:szCs w:val="24"/>
        </w:rPr>
        <w:t xml:space="preserve">(ii) </w:t>
      </w:r>
      <w:proofErr w:type="gramStart"/>
      <w:r w:rsidRPr="00D0179E">
        <w:rPr>
          <w:szCs w:val="24"/>
        </w:rPr>
        <w:t>relevant</w:t>
      </w:r>
      <w:proofErr w:type="gramEnd"/>
      <w:r w:rsidRPr="00D0179E">
        <w:rPr>
          <w:szCs w:val="24"/>
        </w:rPr>
        <w:t xml:space="preserve"> market values (where they exist) for comparable services.”</w:t>
      </w:r>
    </w:p>
  </w:footnote>
  <w:footnote w:id="80">
    <w:p w:rsidR="0030273B" w:rsidRPr="00D0179E" w:rsidRDefault="0030273B" w:rsidP="007C4C3F">
      <w:pPr>
        <w:pStyle w:val="Footnote"/>
      </w:pPr>
      <w:r w:rsidRPr="00D0179E">
        <w:rPr>
          <w:rStyle w:val="FootnoteReference"/>
        </w:rPr>
        <w:footnoteRef/>
      </w:r>
      <w:r w:rsidRPr="00D0179E">
        <w:t xml:space="preserve"> </w:t>
      </w:r>
      <w:proofErr w:type="gramStart"/>
      <w:r w:rsidRPr="00D0179E">
        <w:t xml:space="preserve">Guidelines on the </w:t>
      </w:r>
      <w:r w:rsidRPr="00D0179E">
        <w:rPr>
          <w:szCs w:val="19"/>
          <w:lang w:bidi="ar-SA"/>
        </w:rPr>
        <w:t>applicability</w:t>
      </w:r>
      <w:r w:rsidRPr="00D0179E">
        <w:t xml:space="preserve"> of Article 101 of the Treaty on the Functioning of the European Union to horizontal co-operation agreements</w:t>
      </w:r>
      <w:r w:rsidR="007C4C3F" w:rsidRPr="00D0179E">
        <w:t>, (2011/C 11/01), para.</w:t>
      </w:r>
      <w:proofErr w:type="gramEnd"/>
      <w:r w:rsidR="007C4C3F" w:rsidRPr="00D0179E">
        <w:t xml:space="preserve"> 289. </w:t>
      </w:r>
    </w:p>
  </w:footnote>
  <w:footnote w:id="81">
    <w:p w:rsidR="00A505A0" w:rsidRPr="00D0179E" w:rsidRDefault="00A505A0" w:rsidP="00A505A0">
      <w:pPr>
        <w:pStyle w:val="Footnote"/>
        <w:rPr>
          <w:lang w:bidi="ar-SA"/>
        </w:rPr>
      </w:pPr>
      <w:r w:rsidRPr="00D0179E">
        <w:rPr>
          <w:rStyle w:val="FootnoteReference"/>
        </w:rPr>
        <w:footnoteRef/>
      </w:r>
      <w:r w:rsidRPr="00D0179E">
        <w:t xml:space="preserve"> </w:t>
      </w:r>
      <w:r w:rsidRPr="00D0179E">
        <w:rPr>
          <w:lang w:bidi="ar-SA"/>
        </w:rPr>
        <w:t xml:space="preserve">Dora </w:t>
      </w:r>
      <w:proofErr w:type="spellStart"/>
      <w:r w:rsidRPr="00D0179E">
        <w:rPr>
          <w:lang w:bidi="ar-SA"/>
        </w:rPr>
        <w:t>Kripapuri</w:t>
      </w:r>
      <w:proofErr w:type="spellEnd"/>
      <w:r w:rsidRPr="00D0179E">
        <w:rPr>
          <w:lang w:bidi="ar-SA"/>
        </w:rPr>
        <w:t>, Reasoned Compulsory Lic</w:t>
      </w:r>
      <w:r w:rsidR="009D228E" w:rsidRPr="00D0179E">
        <w:rPr>
          <w:lang w:bidi="ar-SA"/>
        </w:rPr>
        <w:t xml:space="preserve">ensing: Applying U.S. </w:t>
      </w:r>
      <w:proofErr w:type="spellStart"/>
      <w:r w:rsidR="009D228E" w:rsidRPr="00D0179E">
        <w:rPr>
          <w:lang w:bidi="ar-SA"/>
        </w:rPr>
        <w:t>Antitrust’</w:t>
      </w:r>
      <w:r w:rsidRPr="00D0179E">
        <w:rPr>
          <w:lang w:bidi="ar-SA"/>
        </w:rPr>
        <w:t>s</w:t>
      </w:r>
      <w:proofErr w:type="spellEnd"/>
      <w:r w:rsidRPr="00D0179E">
        <w:rPr>
          <w:lang w:bidi="ar-SA"/>
        </w:rPr>
        <w:t xml:space="preserve"> “</w:t>
      </w:r>
      <w:r w:rsidR="009D228E" w:rsidRPr="00D0179E">
        <w:rPr>
          <w:lang w:bidi="ar-SA"/>
        </w:rPr>
        <w:t>Rule of</w:t>
      </w:r>
      <w:r w:rsidRPr="00D0179E">
        <w:rPr>
          <w:lang w:bidi="ar-SA"/>
        </w:rPr>
        <w:t xml:space="preserve"> Reason” to TRIP’s Compulsory Licensing Provision, 36 </w:t>
      </w:r>
      <w:r w:rsidRPr="00D0179E">
        <w:rPr>
          <w:szCs w:val="16"/>
        </w:rPr>
        <w:t>N</w:t>
      </w:r>
      <w:r w:rsidRPr="00D0179E">
        <w:rPr>
          <w:szCs w:val="11"/>
        </w:rPr>
        <w:t>EW</w:t>
      </w:r>
      <w:r w:rsidRPr="00D0179E">
        <w:rPr>
          <w:sz w:val="11"/>
          <w:szCs w:val="11"/>
          <w:lang w:bidi="ar-SA"/>
        </w:rPr>
        <w:t xml:space="preserve"> </w:t>
      </w:r>
      <w:r w:rsidRPr="00D0179E">
        <w:rPr>
          <w:szCs w:val="16"/>
        </w:rPr>
        <w:t>E</w:t>
      </w:r>
      <w:r w:rsidRPr="00D0179E">
        <w:rPr>
          <w:szCs w:val="11"/>
        </w:rPr>
        <w:t>NG</w:t>
      </w:r>
      <w:r w:rsidRPr="00D0179E">
        <w:rPr>
          <w:lang w:bidi="ar-SA"/>
        </w:rPr>
        <w:t xml:space="preserve">. L. </w:t>
      </w:r>
      <w:r w:rsidRPr="00D0179E">
        <w:rPr>
          <w:szCs w:val="16"/>
        </w:rPr>
        <w:t>R</w:t>
      </w:r>
      <w:r w:rsidRPr="00D0179E">
        <w:rPr>
          <w:szCs w:val="11"/>
        </w:rPr>
        <w:t>EV</w:t>
      </w:r>
      <w:r w:rsidRPr="00D0179E">
        <w:rPr>
          <w:lang w:bidi="ar-SA"/>
        </w:rPr>
        <w:t>. 669, 670 (2002)</w:t>
      </w:r>
    </w:p>
  </w:footnote>
  <w:footnote w:id="82">
    <w:p w:rsidR="00DF6515" w:rsidRPr="0068274B" w:rsidRDefault="00DF6515" w:rsidP="00DF6515">
      <w:pPr>
        <w:pStyle w:val="Footnote"/>
        <w:rPr>
          <w:lang w:val="pt-BR"/>
        </w:rPr>
      </w:pPr>
      <w:r w:rsidRPr="00D0179E">
        <w:rPr>
          <w:rStyle w:val="FootnoteReference"/>
        </w:rPr>
        <w:footnoteRef/>
      </w:r>
      <w:r w:rsidRPr="0068274B">
        <w:rPr>
          <w:lang w:val="pt-BR"/>
        </w:rPr>
        <w:t xml:space="preserve"> </w:t>
      </w:r>
      <w:r w:rsidRPr="0068274B">
        <w:rPr>
          <w:lang w:val="pt-BR" w:bidi="ar-SA"/>
        </w:rPr>
        <w:t>Microsoft, para. 1008.</w:t>
      </w:r>
    </w:p>
  </w:footnote>
  <w:footnote w:id="83">
    <w:p w:rsidR="0066557C" w:rsidRPr="0068274B" w:rsidRDefault="0066557C" w:rsidP="0066557C">
      <w:pPr>
        <w:pStyle w:val="Footnote"/>
        <w:rPr>
          <w:lang w:val="pt-BR"/>
        </w:rPr>
      </w:pPr>
      <w:r w:rsidRPr="00D0179E">
        <w:rPr>
          <w:rStyle w:val="FootnoteReference"/>
        </w:rPr>
        <w:footnoteRef/>
      </w:r>
      <w:r w:rsidRPr="0068274B">
        <w:rPr>
          <w:lang w:val="pt-BR"/>
        </w:rPr>
        <w:t xml:space="preserve"> Merger Remedies Notice, para. 130.</w:t>
      </w:r>
    </w:p>
  </w:footnote>
  <w:footnote w:id="84">
    <w:p w:rsidR="001A26AB" w:rsidRPr="0068274B" w:rsidRDefault="001A26AB" w:rsidP="001A26AB">
      <w:pPr>
        <w:pStyle w:val="Footnote"/>
        <w:rPr>
          <w:lang w:val="pt-BR"/>
        </w:rPr>
      </w:pPr>
      <w:r w:rsidRPr="00D0179E">
        <w:rPr>
          <w:rStyle w:val="FootnoteReference"/>
        </w:rPr>
        <w:footnoteRef/>
      </w:r>
      <w:r w:rsidRPr="0068274B">
        <w:rPr>
          <w:lang w:val="pt-BR"/>
        </w:rPr>
        <w:t xml:space="preserve"> Merger Remedies Notice, para. 118.</w:t>
      </w:r>
    </w:p>
  </w:footnote>
  <w:footnote w:id="85">
    <w:p w:rsidR="00754B8A" w:rsidRPr="0001373A" w:rsidRDefault="00754B8A" w:rsidP="00754B8A">
      <w:pPr>
        <w:pStyle w:val="Footnote"/>
        <w:rPr>
          <w:rFonts w:eastAsia="SimSun"/>
        </w:rPr>
      </w:pPr>
      <w:r w:rsidRPr="0001373A">
        <w:rPr>
          <w:rStyle w:val="FootnoteReference"/>
        </w:rPr>
        <w:footnoteRef/>
      </w:r>
      <w:r>
        <w:rPr>
          <w:rFonts w:eastAsia="SimSun" w:hint="eastAsia"/>
        </w:rPr>
        <w:t xml:space="preserve"> </w:t>
      </w:r>
      <w:proofErr w:type="gramStart"/>
      <w:r>
        <w:rPr>
          <w:rFonts w:eastAsia="SimSun" w:hint="eastAsia"/>
        </w:rPr>
        <w:t xml:space="preserve">Jonas S </w:t>
      </w:r>
      <w:proofErr w:type="spellStart"/>
      <w:r>
        <w:rPr>
          <w:rFonts w:eastAsia="SimSun" w:hint="eastAsia"/>
        </w:rPr>
        <w:t>Bruechner</w:t>
      </w:r>
      <w:proofErr w:type="spellEnd"/>
      <w:r>
        <w:rPr>
          <w:rFonts w:eastAsia="SimSun" w:hint="eastAsia"/>
        </w:rPr>
        <w:t xml:space="preserve"> &amp; Thomas </w:t>
      </w:r>
      <w:proofErr w:type="spellStart"/>
      <w:r>
        <w:rPr>
          <w:rFonts w:eastAsia="SimSun" w:hint="eastAsia"/>
        </w:rPr>
        <w:t>Hoehn</w:t>
      </w:r>
      <w:proofErr w:type="spellEnd"/>
      <w:r>
        <w:rPr>
          <w:rFonts w:eastAsia="SimSun" w:hint="eastAsia"/>
        </w:rPr>
        <w:t xml:space="preserve">, Monitoring Compliance with Merger Remedies </w:t>
      </w:r>
      <w:r>
        <w:rPr>
          <w:rFonts w:eastAsia="SimSun"/>
        </w:rPr>
        <w:t>–</w:t>
      </w:r>
      <w:r>
        <w:rPr>
          <w:rFonts w:eastAsia="SimSun" w:hint="eastAsia"/>
        </w:rPr>
        <w:t xml:space="preserve"> the Role of the Monitoring </w:t>
      </w:r>
      <w:r>
        <w:rPr>
          <w:rFonts w:eastAsia="SimSun"/>
        </w:rPr>
        <w:t>Trustee</w:t>
      </w:r>
      <w:r>
        <w:rPr>
          <w:rFonts w:eastAsia="SimSun" w:hint="eastAsia"/>
        </w:rPr>
        <w:t xml:space="preserve">, </w:t>
      </w:r>
      <w:r>
        <w:rPr>
          <w:rFonts w:eastAsia="SimSun"/>
        </w:rPr>
        <w:t>Competition</w:t>
      </w:r>
      <w:r>
        <w:rPr>
          <w:rFonts w:eastAsia="SimSun" w:hint="eastAsia"/>
        </w:rPr>
        <w:t xml:space="preserve"> Law International, September 2010, page 73.</w:t>
      </w:r>
      <w:proofErr w:type="gramEnd"/>
      <w:r>
        <w:rPr>
          <w:rFonts w:eastAsia="SimSun" w:hint="eastAsia"/>
        </w:rPr>
        <w:t xml:space="preserve"> </w:t>
      </w:r>
    </w:p>
  </w:footnote>
  <w:footnote w:id="86">
    <w:p w:rsidR="006D1595" w:rsidRPr="0068274B" w:rsidRDefault="006D1595" w:rsidP="00B75CD8">
      <w:pPr>
        <w:pStyle w:val="Footnote"/>
        <w:rPr>
          <w:lang w:val="pt-BR"/>
        </w:rPr>
      </w:pPr>
      <w:r w:rsidRPr="00D0179E">
        <w:rPr>
          <w:rStyle w:val="FootnoteReference"/>
        </w:rPr>
        <w:footnoteRef/>
      </w:r>
      <w:r w:rsidRPr="0068274B">
        <w:rPr>
          <w:lang w:val="pt-BR"/>
        </w:rPr>
        <w:t xml:space="preserve"> Microsoft, para.1048.</w:t>
      </w:r>
    </w:p>
  </w:footnote>
  <w:footnote w:id="87">
    <w:p w:rsidR="003F68FC" w:rsidRPr="0068274B" w:rsidRDefault="003F68FC" w:rsidP="003F68FC">
      <w:pPr>
        <w:pStyle w:val="Footnote"/>
        <w:rPr>
          <w:lang w:val="pt-BR"/>
        </w:rPr>
      </w:pPr>
      <w:r w:rsidRPr="00D0179E">
        <w:rPr>
          <w:rStyle w:val="FootnoteReference"/>
        </w:rPr>
        <w:footnoteRef/>
      </w:r>
      <w:r w:rsidRPr="0068274B">
        <w:rPr>
          <w:lang w:val="pt-BR"/>
        </w:rPr>
        <w:t xml:space="preserve"> Id. </w:t>
      </w:r>
    </w:p>
  </w:footnote>
  <w:footnote w:id="88">
    <w:p w:rsidR="003F68FC" w:rsidRPr="00D0179E" w:rsidRDefault="003F68FC" w:rsidP="00CC500D">
      <w:pPr>
        <w:pStyle w:val="Footnote"/>
      </w:pPr>
      <w:r w:rsidRPr="00D0179E">
        <w:rPr>
          <w:rStyle w:val="FootnoteReference"/>
        </w:rPr>
        <w:footnoteRef/>
      </w:r>
      <w:r w:rsidRPr="00D0179E">
        <w:t xml:space="preserve"> Microsoft, CFI, para. 1268.</w:t>
      </w:r>
    </w:p>
  </w:footnote>
  <w:footnote w:id="89">
    <w:p w:rsidR="00CC500D" w:rsidRPr="00D0179E" w:rsidRDefault="00CC500D" w:rsidP="00CC500D">
      <w:pPr>
        <w:pStyle w:val="Footnote"/>
      </w:pPr>
      <w:r w:rsidRPr="00D0179E">
        <w:rPr>
          <w:rStyle w:val="FootnoteReference"/>
        </w:rPr>
        <w:footnoteRef/>
      </w:r>
      <w:r w:rsidRPr="00D0179E">
        <w:t xml:space="preserve"> COMMISSION DECISION of 4.3.2009 on the deletion of Article 7 of Decision 2007/53/EC relating to a proceeding pursuant to Article 82 of the EC Treaty and Article 54 of the EEA Agreement against Microsoft Corporation and repealing Decision </w:t>
      </w:r>
      <w:proofErr w:type="gramStart"/>
      <w:r w:rsidRPr="00D0179E">
        <w:t>C(</w:t>
      </w:r>
      <w:proofErr w:type="gramEnd"/>
      <w:r w:rsidRPr="00D0179E">
        <w:t xml:space="preserve">2005)2988 final. </w:t>
      </w:r>
    </w:p>
  </w:footnote>
  <w:footnote w:id="90">
    <w:p w:rsidR="00635D5F" w:rsidRPr="00D0179E" w:rsidRDefault="00635D5F" w:rsidP="00635D5F">
      <w:pPr>
        <w:pStyle w:val="Footnote"/>
      </w:pPr>
      <w:r w:rsidRPr="00D0179E">
        <w:rPr>
          <w:rStyle w:val="FootnoteReference"/>
        </w:rPr>
        <w:footnoteRef/>
      </w:r>
      <w:r w:rsidRPr="00D0179E">
        <w:t xml:space="preserve"> Merger Remedies Notice, para. 74-76. </w:t>
      </w:r>
    </w:p>
  </w:footnote>
  <w:footnote w:id="91">
    <w:p w:rsidR="003757F8" w:rsidRPr="00D0179E" w:rsidRDefault="003757F8" w:rsidP="003757F8">
      <w:pPr>
        <w:pStyle w:val="Footnote"/>
      </w:pPr>
      <w:r w:rsidRPr="00D0179E">
        <w:rPr>
          <w:rStyle w:val="FootnoteReference"/>
        </w:rPr>
        <w:footnoteRef/>
      </w:r>
      <w:r w:rsidRPr="00D0179E">
        <w:t xml:space="preserve"> </w:t>
      </w:r>
      <w:r w:rsidRPr="00D0179E">
        <w:rPr>
          <w:lang w:bidi="ar-SA"/>
        </w:rPr>
        <w:t xml:space="preserve">EU Merger Remedy Study, para. </w:t>
      </w:r>
    </w:p>
  </w:footnote>
  <w:footnote w:id="92">
    <w:p w:rsidR="000E0F63" w:rsidRPr="00D0179E" w:rsidRDefault="000E0F63" w:rsidP="000E0F63">
      <w:pPr>
        <w:pStyle w:val="Footnote"/>
      </w:pPr>
      <w:r w:rsidRPr="00D0179E">
        <w:rPr>
          <w:rStyle w:val="FootnoteReference"/>
        </w:rPr>
        <w:footnoteRef/>
      </w:r>
      <w:r w:rsidRPr="00D0179E">
        <w:t xml:space="preserve"> </w:t>
      </w:r>
      <w:r w:rsidR="00682399" w:rsidRPr="00D0179E">
        <w:t>Merger Remedies Notice, para. 74.</w:t>
      </w:r>
    </w:p>
  </w:footnote>
  <w:footnote w:id="93">
    <w:p w:rsidR="00B64371" w:rsidRPr="00D0179E" w:rsidRDefault="00B64371" w:rsidP="00B64371">
      <w:pPr>
        <w:pStyle w:val="Footnote"/>
        <w:rPr>
          <w:rFonts w:eastAsia="SimSun"/>
        </w:rPr>
      </w:pPr>
      <w:r w:rsidRPr="00D0179E">
        <w:rPr>
          <w:rStyle w:val="FootnoteReference"/>
        </w:rPr>
        <w:footnoteRef/>
      </w:r>
      <w:r w:rsidRPr="00D0179E">
        <w:t xml:space="preserve"> </w:t>
      </w:r>
      <w:proofErr w:type="gramStart"/>
      <w:r w:rsidR="00682399" w:rsidRPr="00D0179E">
        <w:rPr>
          <w:lang w:bidi="ar-SA"/>
        </w:rPr>
        <w:t>Commission Decision</w:t>
      </w:r>
      <w:r w:rsidR="00682399" w:rsidRPr="00D0179E">
        <w:rPr>
          <w:rFonts w:eastAsia="SimSun"/>
          <w:lang w:bidi="ar-SA"/>
        </w:rPr>
        <w:t xml:space="preserve"> </w:t>
      </w:r>
      <w:r w:rsidR="00682399" w:rsidRPr="00D0179E">
        <w:rPr>
          <w:lang w:bidi="ar-SA"/>
        </w:rPr>
        <w:t>of 3.5.2011</w:t>
      </w:r>
      <w:r w:rsidR="00682399" w:rsidRPr="00D0179E">
        <w:rPr>
          <w:rFonts w:eastAsia="SimSun"/>
          <w:lang w:bidi="ar-SA"/>
        </w:rPr>
        <w:t xml:space="preserve"> </w:t>
      </w:r>
      <w:r w:rsidR="00682399" w:rsidRPr="00D0179E">
        <w:rPr>
          <w:lang w:bidi="ar-SA"/>
        </w:rPr>
        <w:t>waiving certain commitments in Decision 98/526/EC in Case No IV/M.950 -HOFFMANN - LA ROCHE / BOEHRINGER MANNHEIM with respect to the DNA</w:t>
      </w:r>
      <w:r w:rsidR="00682399" w:rsidRPr="00D0179E">
        <w:rPr>
          <w:rFonts w:eastAsia="SimSun"/>
          <w:lang w:bidi="ar-SA"/>
        </w:rPr>
        <w:t xml:space="preserve"> </w:t>
      </w:r>
      <w:r w:rsidR="00682399" w:rsidRPr="00D0179E">
        <w:rPr>
          <w:lang w:bidi="ar-SA"/>
        </w:rPr>
        <w:t>probes market</w:t>
      </w:r>
      <w:r w:rsidR="00682399" w:rsidRPr="00D0179E">
        <w:rPr>
          <w:rFonts w:eastAsia="SimSun"/>
          <w:lang w:bidi="ar-SA"/>
        </w:rPr>
        <w:t xml:space="preserve">, </w:t>
      </w:r>
      <w:r w:rsidRPr="00D0179E">
        <w:rPr>
          <w:rFonts w:eastAsia="SimSun"/>
        </w:rPr>
        <w:t>para.</w:t>
      </w:r>
      <w:proofErr w:type="gramEnd"/>
      <w:r w:rsidRPr="00D0179E">
        <w:rPr>
          <w:rFonts w:eastAsia="SimSun"/>
        </w:rPr>
        <w:t xml:space="preserve"> 23.</w:t>
      </w:r>
    </w:p>
  </w:footnote>
  <w:footnote w:id="94">
    <w:p w:rsidR="008C69CA" w:rsidRDefault="008C69CA" w:rsidP="008C69CA">
      <w:pPr>
        <w:pStyle w:val="Footnote"/>
      </w:pPr>
      <w:r>
        <w:rPr>
          <w:rStyle w:val="FootnoteReference"/>
        </w:rPr>
        <w:footnoteRef/>
      </w:r>
      <w:r>
        <w:t xml:space="preserve"> Microsoft, para. 1012.</w:t>
      </w:r>
    </w:p>
  </w:footnote>
  <w:footnote w:id="95">
    <w:p w:rsidR="007111B9" w:rsidRPr="00D0179E" w:rsidRDefault="007111B9" w:rsidP="00AF122F">
      <w:pPr>
        <w:pStyle w:val="Footnote"/>
        <w:rPr>
          <w:lang w:bidi="ar-SA"/>
        </w:rPr>
      </w:pPr>
      <w:r w:rsidRPr="00D0179E">
        <w:rPr>
          <w:rStyle w:val="FootnoteReference"/>
        </w:rPr>
        <w:footnoteRef/>
      </w:r>
      <w:r w:rsidRPr="00D0179E">
        <w:t xml:space="preserve"> </w:t>
      </w:r>
      <w:r w:rsidRPr="00D0179E">
        <w:rPr>
          <w:lang w:bidi="ar-SA"/>
        </w:rPr>
        <w:t>R. Hewitt Pate, Competition and Intellectual Property in the U.S..: Licensing Freedom and the Limits of Antitrust, 2005 EU Competition Workshop, Florence, Italy, http://www.justice.gov/atr/public/speeches/209359.pdf</w:t>
      </w:r>
    </w:p>
  </w:footnote>
  <w:footnote w:id="96">
    <w:p w:rsidR="00892FAA" w:rsidRPr="00D0179E" w:rsidRDefault="00892FAA" w:rsidP="00892FAA">
      <w:pPr>
        <w:pStyle w:val="Footnote"/>
        <w:rPr>
          <w:rFonts w:eastAsia="SimSun"/>
        </w:rPr>
      </w:pPr>
      <w:r w:rsidRPr="00D0179E">
        <w:rPr>
          <w:rStyle w:val="FootnoteReference"/>
        </w:rPr>
        <w:footnoteRef/>
      </w:r>
      <w:r w:rsidRPr="00D0179E">
        <w:t xml:space="preserve"> CFI</w:t>
      </w:r>
      <w:r w:rsidRPr="00D0179E">
        <w:rPr>
          <w:rFonts w:eastAsia="SimSun"/>
        </w:rPr>
        <w:t xml:space="preserve">, </w:t>
      </w:r>
      <w:r w:rsidRPr="00D0179E">
        <w:rPr>
          <w:shd w:val="clear" w:color="auto" w:fill="FFFFFF"/>
        </w:rPr>
        <w:t>Case T-158/00</w:t>
      </w:r>
      <w:r w:rsidRPr="00D0179E">
        <w:rPr>
          <w:rFonts w:eastAsia="SimSun"/>
          <w:shd w:val="clear" w:color="auto" w:fill="FFFFFF"/>
        </w:rPr>
        <w:t xml:space="preserve">, </w:t>
      </w:r>
      <w:proofErr w:type="spellStart"/>
      <w:r w:rsidRPr="00D0179E">
        <w:rPr>
          <w:shd w:val="clear" w:color="auto" w:fill="FFFFFF"/>
        </w:rPr>
        <w:t>Arbeitsgemeinschaft</w:t>
      </w:r>
      <w:proofErr w:type="spellEnd"/>
      <w:r w:rsidRPr="00D0179E">
        <w:rPr>
          <w:shd w:val="clear" w:color="auto" w:fill="FFFFFF"/>
        </w:rPr>
        <w:t xml:space="preserve"> der </w:t>
      </w:r>
      <w:proofErr w:type="spellStart"/>
      <w:r w:rsidRPr="00D0179E">
        <w:rPr>
          <w:shd w:val="clear" w:color="auto" w:fill="FFFFFF"/>
        </w:rPr>
        <w:t>öffentlich-rechtlichen</w:t>
      </w:r>
      <w:proofErr w:type="spellEnd"/>
      <w:r w:rsidRPr="00D0179E">
        <w:rPr>
          <w:shd w:val="clear" w:color="auto" w:fill="FFFFFF"/>
        </w:rPr>
        <w:t xml:space="preserve"> </w:t>
      </w:r>
      <w:proofErr w:type="spellStart"/>
      <w:r w:rsidRPr="00D0179E">
        <w:rPr>
          <w:shd w:val="clear" w:color="auto" w:fill="FFFFFF"/>
        </w:rPr>
        <w:t>Rundfunkanstalten</w:t>
      </w:r>
      <w:proofErr w:type="spellEnd"/>
      <w:r w:rsidRPr="00D0179E">
        <w:rPr>
          <w:shd w:val="clear" w:color="auto" w:fill="FFFFFF"/>
        </w:rPr>
        <w:t xml:space="preserve"> der </w:t>
      </w:r>
      <w:proofErr w:type="spellStart"/>
      <w:r w:rsidRPr="00D0179E">
        <w:rPr>
          <w:shd w:val="clear" w:color="auto" w:fill="FFFFFF"/>
        </w:rPr>
        <w:t>Bundesrepublik</w:t>
      </w:r>
      <w:proofErr w:type="spellEnd"/>
      <w:r w:rsidRPr="00D0179E">
        <w:rPr>
          <w:shd w:val="clear" w:color="auto" w:fill="FFFFFF"/>
        </w:rPr>
        <w:t xml:space="preserve"> Deutschland (ARD)</w:t>
      </w:r>
      <w:r w:rsidRPr="00D0179E">
        <w:rPr>
          <w:rFonts w:eastAsia="SimSun"/>
          <w:shd w:val="clear" w:color="auto" w:fill="FFFFFF"/>
        </w:rPr>
        <w:t xml:space="preserve"> </w:t>
      </w:r>
      <w:r w:rsidRPr="00D0179E">
        <w:rPr>
          <w:shd w:val="clear" w:color="auto" w:fill="FFFFFF"/>
        </w:rPr>
        <w:t>v</w:t>
      </w:r>
      <w:r w:rsidRPr="00D0179E">
        <w:rPr>
          <w:rFonts w:eastAsia="SimSun"/>
          <w:shd w:val="clear" w:color="auto" w:fill="FFFFFF"/>
        </w:rPr>
        <w:t xml:space="preserve">. </w:t>
      </w:r>
      <w:r w:rsidRPr="00D0179E">
        <w:rPr>
          <w:shd w:val="clear" w:color="auto" w:fill="FFFFFF"/>
        </w:rPr>
        <w:t xml:space="preserve">Commission of the European </w:t>
      </w:r>
      <w:r w:rsidRPr="00D0179E">
        <w:t>Communities, 30 September 2003, European Court reports 2003 Page II-03825</w:t>
      </w:r>
      <w:r w:rsidRPr="00D0179E">
        <w:rPr>
          <w:rFonts w:eastAsia="SimSun"/>
        </w:rPr>
        <w:t>, para. 295.</w:t>
      </w:r>
    </w:p>
  </w:footnote>
  <w:footnote w:id="97">
    <w:p w:rsidR="00467DAE" w:rsidRPr="00467DAE" w:rsidRDefault="00467DAE" w:rsidP="00467DAE">
      <w:pPr>
        <w:pStyle w:val="Footnote"/>
      </w:pPr>
      <w:r>
        <w:rPr>
          <w:rStyle w:val="FootnoteReference"/>
        </w:rPr>
        <w:footnoteRef/>
      </w:r>
      <w:r w:rsidRPr="00467DAE">
        <w:t xml:space="preserve"> Gordon </w:t>
      </w:r>
      <w:proofErr w:type="spellStart"/>
      <w:r w:rsidRPr="00467DAE">
        <w:t>Blanke</w:t>
      </w:r>
      <w:proofErr w:type="spellEnd"/>
      <w:r w:rsidRPr="00467DAE">
        <w:t>, the use of Arbitration in EC Merger Control</w:t>
      </w:r>
      <w:r>
        <w:t xml:space="preserve">: latest Developments, (2007) E.C.L.R. 673, 676. </w:t>
      </w:r>
    </w:p>
  </w:footnote>
  <w:footnote w:id="98">
    <w:p w:rsidR="00EF2E36" w:rsidRPr="00D0179E" w:rsidRDefault="00EF2E36" w:rsidP="00EF2E36">
      <w:pPr>
        <w:pStyle w:val="Footnote"/>
        <w:rPr>
          <w:rFonts w:eastAsia="SimSun"/>
        </w:rPr>
      </w:pPr>
      <w:r w:rsidRPr="00D0179E">
        <w:rPr>
          <w:rStyle w:val="FootnoteReference"/>
        </w:rPr>
        <w:footnoteRef/>
      </w:r>
      <w:r w:rsidRPr="00D0179E">
        <w:t xml:space="preserve"> </w:t>
      </w:r>
      <w:r w:rsidRPr="00D0179E">
        <w:rPr>
          <w:rFonts w:eastAsia="SimSun"/>
        </w:rPr>
        <w:t>Merger Remedies Notice, para. 66.</w:t>
      </w:r>
    </w:p>
  </w:footnote>
  <w:footnote w:id="99">
    <w:p w:rsidR="0024157B" w:rsidRPr="00D0179E" w:rsidRDefault="0024157B" w:rsidP="0024157B">
      <w:pPr>
        <w:pStyle w:val="Footnote"/>
        <w:rPr>
          <w:rFonts w:eastAsia="SimSun"/>
        </w:rPr>
      </w:pPr>
      <w:r w:rsidRPr="00D0179E">
        <w:rPr>
          <w:rStyle w:val="FootnoteReference"/>
        </w:rPr>
        <w:footnoteRef/>
      </w:r>
      <w:r w:rsidRPr="00D0179E">
        <w:t xml:space="preserve"> </w:t>
      </w:r>
      <w:r w:rsidRPr="00D0179E">
        <w:rPr>
          <w:rFonts w:eastAsia="SimSun"/>
        </w:rPr>
        <w:t>See, Merger Remedies Notice, para. 66. US Merger Remedies Guide, p. 16.</w:t>
      </w:r>
    </w:p>
  </w:footnote>
  <w:footnote w:id="100">
    <w:p w:rsidR="00DC1A12" w:rsidRPr="005C0D5D" w:rsidRDefault="00DC1A12" w:rsidP="00DC1A12">
      <w:pPr>
        <w:pStyle w:val="Footnote"/>
        <w:rPr>
          <w:rFonts w:eastAsia="SimSun"/>
        </w:rPr>
      </w:pPr>
      <w:r w:rsidRPr="00D0179E">
        <w:rPr>
          <w:rStyle w:val="FootnoteReference"/>
        </w:rPr>
        <w:footnoteRef/>
      </w:r>
      <w:r w:rsidRPr="00D0179E">
        <w:t xml:space="preserve"> </w:t>
      </w:r>
      <w:proofErr w:type="spellStart"/>
      <w:r w:rsidRPr="00D0179E">
        <w:rPr>
          <w:lang w:bidi="ar-SA"/>
        </w:rPr>
        <w:t>Makan</w:t>
      </w:r>
      <w:proofErr w:type="spellEnd"/>
      <w:r w:rsidRPr="00D0179E">
        <w:rPr>
          <w:lang w:bidi="ar-SA"/>
        </w:rPr>
        <w:t xml:space="preserve"> </w:t>
      </w:r>
      <w:proofErr w:type="spellStart"/>
      <w:r w:rsidRPr="00D0179E">
        <w:rPr>
          <w:lang w:bidi="ar-SA"/>
        </w:rPr>
        <w:t>Delrahim</w:t>
      </w:r>
      <w:proofErr w:type="spellEnd"/>
      <w:r w:rsidR="005C0D5D">
        <w:rPr>
          <w:rFonts w:eastAsia="SimSun" w:hint="eastAsia"/>
          <w:lang w:bidi="ar-SA"/>
        </w:rPr>
        <w:t xml:space="preserve">, </w:t>
      </w:r>
      <w:proofErr w:type="spellStart"/>
      <w:r w:rsidR="005C0D5D">
        <w:rPr>
          <w:rFonts w:eastAsia="SimSun" w:hint="eastAsia"/>
          <w:lang w:bidi="ar-SA"/>
        </w:rPr>
        <w:t>supor</w:t>
      </w:r>
      <w:proofErr w:type="spellEnd"/>
      <w:r w:rsidR="005C0D5D">
        <w:rPr>
          <w:rFonts w:eastAsia="SimSun" w:hint="eastAsia"/>
          <w:lang w:bidi="ar-SA"/>
        </w:rPr>
        <w:t xml:space="preserve"> note 67. </w:t>
      </w:r>
    </w:p>
  </w:footnote>
  <w:footnote w:id="101">
    <w:p w:rsidR="00774BA6" w:rsidRPr="003B7399" w:rsidRDefault="00774BA6" w:rsidP="005C0D5D">
      <w:pPr>
        <w:pStyle w:val="Footnote"/>
        <w:rPr>
          <w:rFonts w:eastAsia="SimSun"/>
        </w:rPr>
      </w:pPr>
      <w:r>
        <w:rPr>
          <w:rStyle w:val="FootnoteReference"/>
        </w:rPr>
        <w:footnoteRef/>
      </w:r>
      <w:r w:rsidRPr="003B7399">
        <w:t xml:space="preserve"> </w:t>
      </w:r>
      <w:r w:rsidRPr="003B7399">
        <w:rPr>
          <w:rFonts w:eastAsia="SimSun"/>
        </w:rPr>
        <w:t xml:space="preserve">Frank Fine, </w:t>
      </w:r>
      <w:r w:rsidRPr="005C0D5D">
        <w:rPr>
          <w:lang w:bidi="ar-SA"/>
        </w:rPr>
        <w:t>European</w:t>
      </w:r>
      <w:r w:rsidRPr="003B7399">
        <w:rPr>
          <w:rFonts w:eastAsia="SimSun"/>
        </w:rPr>
        <w:t xml:space="preserve"> Community Compulsory Licensing Policy: Heresy versus Common Sense, Northwest Journal of International Law &amp; Business, 4: 619 (2004), p. 612.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5C0"/>
    <w:multiLevelType w:val="hybridMultilevel"/>
    <w:tmpl w:val="BC0A512C"/>
    <w:lvl w:ilvl="0" w:tplc="9DDA34C2">
      <w:start w:val="1"/>
      <w:numFmt w:val="bullet"/>
      <w:lvlText w:val=""/>
      <w:lvlJc w:val="left"/>
      <w:pPr>
        <w:tabs>
          <w:tab w:val="num" w:pos="720"/>
        </w:tabs>
        <w:ind w:left="720" w:hanging="360"/>
      </w:pPr>
      <w:rPr>
        <w:rFonts w:ascii="Wingdings 2" w:hAnsi="Wingdings 2" w:hint="default"/>
      </w:rPr>
    </w:lvl>
    <w:lvl w:ilvl="1" w:tplc="7B98DC2E">
      <w:start w:val="708"/>
      <w:numFmt w:val="bullet"/>
      <w:lvlText w:val="–"/>
      <w:lvlJc w:val="left"/>
      <w:pPr>
        <w:tabs>
          <w:tab w:val="num" w:pos="1440"/>
        </w:tabs>
        <w:ind w:left="1440" w:hanging="360"/>
      </w:pPr>
      <w:rPr>
        <w:rFonts w:ascii="Times New Roman" w:hAnsi="Times New Roman" w:hint="default"/>
      </w:rPr>
    </w:lvl>
    <w:lvl w:ilvl="2" w:tplc="88CEDC28">
      <w:start w:val="708"/>
      <w:numFmt w:val="bullet"/>
      <w:lvlText w:val="–"/>
      <w:lvlJc w:val="left"/>
      <w:pPr>
        <w:tabs>
          <w:tab w:val="num" w:pos="2160"/>
        </w:tabs>
        <w:ind w:left="2160" w:hanging="360"/>
      </w:pPr>
      <w:rPr>
        <w:rFonts w:ascii="Times New Roman" w:hAnsi="Times New Roman" w:hint="default"/>
      </w:rPr>
    </w:lvl>
    <w:lvl w:ilvl="3" w:tplc="815283C6" w:tentative="1">
      <w:start w:val="1"/>
      <w:numFmt w:val="bullet"/>
      <w:lvlText w:val=""/>
      <w:lvlJc w:val="left"/>
      <w:pPr>
        <w:tabs>
          <w:tab w:val="num" w:pos="2880"/>
        </w:tabs>
        <w:ind w:left="2880" w:hanging="360"/>
      </w:pPr>
      <w:rPr>
        <w:rFonts w:ascii="Wingdings 2" w:hAnsi="Wingdings 2" w:hint="default"/>
      </w:rPr>
    </w:lvl>
    <w:lvl w:ilvl="4" w:tplc="C192B6BA" w:tentative="1">
      <w:start w:val="1"/>
      <w:numFmt w:val="bullet"/>
      <w:lvlText w:val=""/>
      <w:lvlJc w:val="left"/>
      <w:pPr>
        <w:tabs>
          <w:tab w:val="num" w:pos="3600"/>
        </w:tabs>
        <w:ind w:left="3600" w:hanging="360"/>
      </w:pPr>
      <w:rPr>
        <w:rFonts w:ascii="Wingdings 2" w:hAnsi="Wingdings 2" w:hint="default"/>
      </w:rPr>
    </w:lvl>
    <w:lvl w:ilvl="5" w:tplc="A1A82368" w:tentative="1">
      <w:start w:val="1"/>
      <w:numFmt w:val="bullet"/>
      <w:lvlText w:val=""/>
      <w:lvlJc w:val="left"/>
      <w:pPr>
        <w:tabs>
          <w:tab w:val="num" w:pos="4320"/>
        </w:tabs>
        <w:ind w:left="4320" w:hanging="360"/>
      </w:pPr>
      <w:rPr>
        <w:rFonts w:ascii="Wingdings 2" w:hAnsi="Wingdings 2" w:hint="default"/>
      </w:rPr>
    </w:lvl>
    <w:lvl w:ilvl="6" w:tplc="C8E0BBA0" w:tentative="1">
      <w:start w:val="1"/>
      <w:numFmt w:val="bullet"/>
      <w:lvlText w:val=""/>
      <w:lvlJc w:val="left"/>
      <w:pPr>
        <w:tabs>
          <w:tab w:val="num" w:pos="5040"/>
        </w:tabs>
        <w:ind w:left="5040" w:hanging="360"/>
      </w:pPr>
      <w:rPr>
        <w:rFonts w:ascii="Wingdings 2" w:hAnsi="Wingdings 2" w:hint="default"/>
      </w:rPr>
    </w:lvl>
    <w:lvl w:ilvl="7" w:tplc="5F1C4372" w:tentative="1">
      <w:start w:val="1"/>
      <w:numFmt w:val="bullet"/>
      <w:lvlText w:val=""/>
      <w:lvlJc w:val="left"/>
      <w:pPr>
        <w:tabs>
          <w:tab w:val="num" w:pos="5760"/>
        </w:tabs>
        <w:ind w:left="5760" w:hanging="360"/>
      </w:pPr>
      <w:rPr>
        <w:rFonts w:ascii="Wingdings 2" w:hAnsi="Wingdings 2" w:hint="default"/>
      </w:rPr>
    </w:lvl>
    <w:lvl w:ilvl="8" w:tplc="F258AEBA" w:tentative="1">
      <w:start w:val="1"/>
      <w:numFmt w:val="bullet"/>
      <w:lvlText w:val=""/>
      <w:lvlJc w:val="left"/>
      <w:pPr>
        <w:tabs>
          <w:tab w:val="num" w:pos="6480"/>
        </w:tabs>
        <w:ind w:left="6480" w:hanging="360"/>
      </w:pPr>
      <w:rPr>
        <w:rFonts w:ascii="Wingdings 2" w:hAnsi="Wingdings 2" w:hint="default"/>
      </w:rPr>
    </w:lvl>
  </w:abstractNum>
  <w:abstractNum w:abstractNumId="1">
    <w:nsid w:val="187F0444"/>
    <w:multiLevelType w:val="hybridMultilevel"/>
    <w:tmpl w:val="8FC4EC70"/>
    <w:lvl w:ilvl="0" w:tplc="1F987148">
      <w:start w:val="1"/>
      <w:numFmt w:val="bullet"/>
      <w:lvlText w:val="–"/>
      <w:lvlJc w:val="left"/>
      <w:pPr>
        <w:tabs>
          <w:tab w:val="num" w:pos="720"/>
        </w:tabs>
        <w:ind w:left="720" w:hanging="360"/>
      </w:pPr>
      <w:rPr>
        <w:rFonts w:ascii="Times New Roman" w:hAnsi="Times New Roman" w:hint="default"/>
      </w:rPr>
    </w:lvl>
    <w:lvl w:ilvl="1" w:tplc="332A510A">
      <w:start w:val="1"/>
      <w:numFmt w:val="bullet"/>
      <w:lvlText w:val="–"/>
      <w:lvlJc w:val="left"/>
      <w:pPr>
        <w:tabs>
          <w:tab w:val="num" w:pos="1440"/>
        </w:tabs>
        <w:ind w:left="1440" w:hanging="360"/>
      </w:pPr>
      <w:rPr>
        <w:rFonts w:ascii="Times New Roman" w:hAnsi="Times New Roman" w:hint="default"/>
      </w:rPr>
    </w:lvl>
    <w:lvl w:ilvl="2" w:tplc="75187BFC" w:tentative="1">
      <w:start w:val="1"/>
      <w:numFmt w:val="bullet"/>
      <w:lvlText w:val="–"/>
      <w:lvlJc w:val="left"/>
      <w:pPr>
        <w:tabs>
          <w:tab w:val="num" w:pos="2160"/>
        </w:tabs>
        <w:ind w:left="2160" w:hanging="360"/>
      </w:pPr>
      <w:rPr>
        <w:rFonts w:ascii="Times New Roman" w:hAnsi="Times New Roman" w:hint="default"/>
      </w:rPr>
    </w:lvl>
    <w:lvl w:ilvl="3" w:tplc="D2F8FF4A" w:tentative="1">
      <w:start w:val="1"/>
      <w:numFmt w:val="bullet"/>
      <w:lvlText w:val="–"/>
      <w:lvlJc w:val="left"/>
      <w:pPr>
        <w:tabs>
          <w:tab w:val="num" w:pos="2880"/>
        </w:tabs>
        <w:ind w:left="2880" w:hanging="360"/>
      </w:pPr>
      <w:rPr>
        <w:rFonts w:ascii="Times New Roman" w:hAnsi="Times New Roman" w:hint="default"/>
      </w:rPr>
    </w:lvl>
    <w:lvl w:ilvl="4" w:tplc="44E8CDF2" w:tentative="1">
      <w:start w:val="1"/>
      <w:numFmt w:val="bullet"/>
      <w:lvlText w:val="–"/>
      <w:lvlJc w:val="left"/>
      <w:pPr>
        <w:tabs>
          <w:tab w:val="num" w:pos="3600"/>
        </w:tabs>
        <w:ind w:left="3600" w:hanging="360"/>
      </w:pPr>
      <w:rPr>
        <w:rFonts w:ascii="Times New Roman" w:hAnsi="Times New Roman" w:hint="default"/>
      </w:rPr>
    </w:lvl>
    <w:lvl w:ilvl="5" w:tplc="4FBE88EC" w:tentative="1">
      <w:start w:val="1"/>
      <w:numFmt w:val="bullet"/>
      <w:lvlText w:val="–"/>
      <w:lvlJc w:val="left"/>
      <w:pPr>
        <w:tabs>
          <w:tab w:val="num" w:pos="4320"/>
        </w:tabs>
        <w:ind w:left="4320" w:hanging="360"/>
      </w:pPr>
      <w:rPr>
        <w:rFonts w:ascii="Times New Roman" w:hAnsi="Times New Roman" w:hint="default"/>
      </w:rPr>
    </w:lvl>
    <w:lvl w:ilvl="6" w:tplc="70F29826" w:tentative="1">
      <w:start w:val="1"/>
      <w:numFmt w:val="bullet"/>
      <w:lvlText w:val="–"/>
      <w:lvlJc w:val="left"/>
      <w:pPr>
        <w:tabs>
          <w:tab w:val="num" w:pos="5040"/>
        </w:tabs>
        <w:ind w:left="5040" w:hanging="360"/>
      </w:pPr>
      <w:rPr>
        <w:rFonts w:ascii="Times New Roman" w:hAnsi="Times New Roman" w:hint="default"/>
      </w:rPr>
    </w:lvl>
    <w:lvl w:ilvl="7" w:tplc="606229EC" w:tentative="1">
      <w:start w:val="1"/>
      <w:numFmt w:val="bullet"/>
      <w:lvlText w:val="–"/>
      <w:lvlJc w:val="left"/>
      <w:pPr>
        <w:tabs>
          <w:tab w:val="num" w:pos="5760"/>
        </w:tabs>
        <w:ind w:left="5760" w:hanging="360"/>
      </w:pPr>
      <w:rPr>
        <w:rFonts w:ascii="Times New Roman" w:hAnsi="Times New Roman" w:hint="default"/>
      </w:rPr>
    </w:lvl>
    <w:lvl w:ilvl="8" w:tplc="B994FF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66511E"/>
    <w:multiLevelType w:val="hybridMultilevel"/>
    <w:tmpl w:val="7F52E49C"/>
    <w:lvl w:ilvl="0" w:tplc="C1CC41DA">
      <w:start w:val="1"/>
      <w:numFmt w:val="bullet"/>
      <w:lvlText w:val=""/>
      <w:lvlJc w:val="left"/>
      <w:pPr>
        <w:tabs>
          <w:tab w:val="num" w:pos="720"/>
        </w:tabs>
        <w:ind w:left="720" w:hanging="360"/>
      </w:pPr>
      <w:rPr>
        <w:rFonts w:ascii="Wingdings 2" w:hAnsi="Wingdings 2" w:hint="default"/>
      </w:rPr>
    </w:lvl>
    <w:lvl w:ilvl="1" w:tplc="9E4EAF6C">
      <w:start w:val="708"/>
      <w:numFmt w:val="bullet"/>
      <w:lvlText w:val="–"/>
      <w:lvlJc w:val="left"/>
      <w:pPr>
        <w:tabs>
          <w:tab w:val="num" w:pos="1440"/>
        </w:tabs>
        <w:ind w:left="1440" w:hanging="360"/>
      </w:pPr>
      <w:rPr>
        <w:rFonts w:ascii="Times New Roman" w:hAnsi="Times New Roman" w:hint="default"/>
      </w:rPr>
    </w:lvl>
    <w:lvl w:ilvl="2" w:tplc="3A2E67F4">
      <w:start w:val="708"/>
      <w:numFmt w:val="bullet"/>
      <w:lvlText w:val="–"/>
      <w:lvlJc w:val="left"/>
      <w:pPr>
        <w:tabs>
          <w:tab w:val="num" w:pos="2160"/>
        </w:tabs>
        <w:ind w:left="2160" w:hanging="360"/>
      </w:pPr>
      <w:rPr>
        <w:rFonts w:ascii="Times New Roman" w:hAnsi="Times New Roman" w:hint="default"/>
      </w:rPr>
    </w:lvl>
    <w:lvl w:ilvl="3" w:tplc="8F3EE4C4" w:tentative="1">
      <w:start w:val="1"/>
      <w:numFmt w:val="bullet"/>
      <w:lvlText w:val=""/>
      <w:lvlJc w:val="left"/>
      <w:pPr>
        <w:tabs>
          <w:tab w:val="num" w:pos="2880"/>
        </w:tabs>
        <w:ind w:left="2880" w:hanging="360"/>
      </w:pPr>
      <w:rPr>
        <w:rFonts w:ascii="Wingdings 2" w:hAnsi="Wingdings 2" w:hint="default"/>
      </w:rPr>
    </w:lvl>
    <w:lvl w:ilvl="4" w:tplc="EE12BF74" w:tentative="1">
      <w:start w:val="1"/>
      <w:numFmt w:val="bullet"/>
      <w:lvlText w:val=""/>
      <w:lvlJc w:val="left"/>
      <w:pPr>
        <w:tabs>
          <w:tab w:val="num" w:pos="3600"/>
        </w:tabs>
        <w:ind w:left="3600" w:hanging="360"/>
      </w:pPr>
      <w:rPr>
        <w:rFonts w:ascii="Wingdings 2" w:hAnsi="Wingdings 2" w:hint="default"/>
      </w:rPr>
    </w:lvl>
    <w:lvl w:ilvl="5" w:tplc="47AA967A" w:tentative="1">
      <w:start w:val="1"/>
      <w:numFmt w:val="bullet"/>
      <w:lvlText w:val=""/>
      <w:lvlJc w:val="left"/>
      <w:pPr>
        <w:tabs>
          <w:tab w:val="num" w:pos="4320"/>
        </w:tabs>
        <w:ind w:left="4320" w:hanging="360"/>
      </w:pPr>
      <w:rPr>
        <w:rFonts w:ascii="Wingdings 2" w:hAnsi="Wingdings 2" w:hint="default"/>
      </w:rPr>
    </w:lvl>
    <w:lvl w:ilvl="6" w:tplc="3A345C38" w:tentative="1">
      <w:start w:val="1"/>
      <w:numFmt w:val="bullet"/>
      <w:lvlText w:val=""/>
      <w:lvlJc w:val="left"/>
      <w:pPr>
        <w:tabs>
          <w:tab w:val="num" w:pos="5040"/>
        </w:tabs>
        <w:ind w:left="5040" w:hanging="360"/>
      </w:pPr>
      <w:rPr>
        <w:rFonts w:ascii="Wingdings 2" w:hAnsi="Wingdings 2" w:hint="default"/>
      </w:rPr>
    </w:lvl>
    <w:lvl w:ilvl="7" w:tplc="5694E94A" w:tentative="1">
      <w:start w:val="1"/>
      <w:numFmt w:val="bullet"/>
      <w:lvlText w:val=""/>
      <w:lvlJc w:val="left"/>
      <w:pPr>
        <w:tabs>
          <w:tab w:val="num" w:pos="5760"/>
        </w:tabs>
        <w:ind w:left="5760" w:hanging="360"/>
      </w:pPr>
      <w:rPr>
        <w:rFonts w:ascii="Wingdings 2" w:hAnsi="Wingdings 2" w:hint="default"/>
      </w:rPr>
    </w:lvl>
    <w:lvl w:ilvl="8" w:tplc="62EC5F8C" w:tentative="1">
      <w:start w:val="1"/>
      <w:numFmt w:val="bullet"/>
      <w:lvlText w:val=""/>
      <w:lvlJc w:val="left"/>
      <w:pPr>
        <w:tabs>
          <w:tab w:val="num" w:pos="6480"/>
        </w:tabs>
        <w:ind w:left="6480" w:hanging="360"/>
      </w:pPr>
      <w:rPr>
        <w:rFonts w:ascii="Wingdings 2" w:hAnsi="Wingdings 2" w:hint="default"/>
      </w:rPr>
    </w:lvl>
  </w:abstractNum>
  <w:abstractNum w:abstractNumId="3">
    <w:nsid w:val="2E1D5375"/>
    <w:multiLevelType w:val="hybridMultilevel"/>
    <w:tmpl w:val="CA50F2EA"/>
    <w:lvl w:ilvl="0" w:tplc="BF162FE8">
      <w:start w:val="1"/>
      <w:numFmt w:val="bullet"/>
      <w:lvlText w:val=""/>
      <w:lvlJc w:val="left"/>
      <w:pPr>
        <w:tabs>
          <w:tab w:val="num" w:pos="720"/>
        </w:tabs>
        <w:ind w:left="720" w:hanging="360"/>
      </w:pPr>
      <w:rPr>
        <w:rFonts w:ascii="Wingdings 2" w:hAnsi="Wingdings 2" w:hint="default"/>
      </w:rPr>
    </w:lvl>
    <w:lvl w:ilvl="1" w:tplc="3702A7A8" w:tentative="1">
      <w:start w:val="1"/>
      <w:numFmt w:val="bullet"/>
      <w:lvlText w:val=""/>
      <w:lvlJc w:val="left"/>
      <w:pPr>
        <w:tabs>
          <w:tab w:val="num" w:pos="1440"/>
        </w:tabs>
        <w:ind w:left="1440" w:hanging="360"/>
      </w:pPr>
      <w:rPr>
        <w:rFonts w:ascii="Wingdings 2" w:hAnsi="Wingdings 2" w:hint="default"/>
      </w:rPr>
    </w:lvl>
    <w:lvl w:ilvl="2" w:tplc="69B606C6" w:tentative="1">
      <w:start w:val="1"/>
      <w:numFmt w:val="bullet"/>
      <w:lvlText w:val=""/>
      <w:lvlJc w:val="left"/>
      <w:pPr>
        <w:tabs>
          <w:tab w:val="num" w:pos="2160"/>
        </w:tabs>
        <w:ind w:left="2160" w:hanging="360"/>
      </w:pPr>
      <w:rPr>
        <w:rFonts w:ascii="Wingdings 2" w:hAnsi="Wingdings 2" w:hint="default"/>
      </w:rPr>
    </w:lvl>
    <w:lvl w:ilvl="3" w:tplc="3D00A33A" w:tentative="1">
      <w:start w:val="1"/>
      <w:numFmt w:val="bullet"/>
      <w:lvlText w:val=""/>
      <w:lvlJc w:val="left"/>
      <w:pPr>
        <w:tabs>
          <w:tab w:val="num" w:pos="2880"/>
        </w:tabs>
        <w:ind w:left="2880" w:hanging="360"/>
      </w:pPr>
      <w:rPr>
        <w:rFonts w:ascii="Wingdings 2" w:hAnsi="Wingdings 2" w:hint="default"/>
      </w:rPr>
    </w:lvl>
    <w:lvl w:ilvl="4" w:tplc="87C044E2" w:tentative="1">
      <w:start w:val="1"/>
      <w:numFmt w:val="bullet"/>
      <w:lvlText w:val=""/>
      <w:lvlJc w:val="left"/>
      <w:pPr>
        <w:tabs>
          <w:tab w:val="num" w:pos="3600"/>
        </w:tabs>
        <w:ind w:left="3600" w:hanging="360"/>
      </w:pPr>
      <w:rPr>
        <w:rFonts w:ascii="Wingdings 2" w:hAnsi="Wingdings 2" w:hint="default"/>
      </w:rPr>
    </w:lvl>
    <w:lvl w:ilvl="5" w:tplc="14486A82" w:tentative="1">
      <w:start w:val="1"/>
      <w:numFmt w:val="bullet"/>
      <w:lvlText w:val=""/>
      <w:lvlJc w:val="left"/>
      <w:pPr>
        <w:tabs>
          <w:tab w:val="num" w:pos="4320"/>
        </w:tabs>
        <w:ind w:left="4320" w:hanging="360"/>
      </w:pPr>
      <w:rPr>
        <w:rFonts w:ascii="Wingdings 2" w:hAnsi="Wingdings 2" w:hint="default"/>
      </w:rPr>
    </w:lvl>
    <w:lvl w:ilvl="6" w:tplc="640A46A4" w:tentative="1">
      <w:start w:val="1"/>
      <w:numFmt w:val="bullet"/>
      <w:lvlText w:val=""/>
      <w:lvlJc w:val="left"/>
      <w:pPr>
        <w:tabs>
          <w:tab w:val="num" w:pos="5040"/>
        </w:tabs>
        <w:ind w:left="5040" w:hanging="360"/>
      </w:pPr>
      <w:rPr>
        <w:rFonts w:ascii="Wingdings 2" w:hAnsi="Wingdings 2" w:hint="default"/>
      </w:rPr>
    </w:lvl>
    <w:lvl w:ilvl="7" w:tplc="873815C2" w:tentative="1">
      <w:start w:val="1"/>
      <w:numFmt w:val="bullet"/>
      <w:lvlText w:val=""/>
      <w:lvlJc w:val="left"/>
      <w:pPr>
        <w:tabs>
          <w:tab w:val="num" w:pos="5760"/>
        </w:tabs>
        <w:ind w:left="5760" w:hanging="360"/>
      </w:pPr>
      <w:rPr>
        <w:rFonts w:ascii="Wingdings 2" w:hAnsi="Wingdings 2" w:hint="default"/>
      </w:rPr>
    </w:lvl>
    <w:lvl w:ilvl="8" w:tplc="2B04938A" w:tentative="1">
      <w:start w:val="1"/>
      <w:numFmt w:val="bullet"/>
      <w:lvlText w:val=""/>
      <w:lvlJc w:val="left"/>
      <w:pPr>
        <w:tabs>
          <w:tab w:val="num" w:pos="6480"/>
        </w:tabs>
        <w:ind w:left="6480" w:hanging="360"/>
      </w:pPr>
      <w:rPr>
        <w:rFonts w:ascii="Wingdings 2" w:hAnsi="Wingdings 2" w:hint="default"/>
      </w:rPr>
    </w:lvl>
  </w:abstractNum>
  <w:abstractNum w:abstractNumId="4">
    <w:nsid w:val="3F5E4AE5"/>
    <w:multiLevelType w:val="multilevel"/>
    <w:tmpl w:val="FBC66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049EC"/>
    <w:multiLevelType w:val="multilevel"/>
    <w:tmpl w:val="040B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B8627BA"/>
    <w:multiLevelType w:val="hybridMultilevel"/>
    <w:tmpl w:val="8B9EA138"/>
    <w:lvl w:ilvl="0" w:tplc="CE9A7EB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C3227"/>
    <w:multiLevelType w:val="multilevel"/>
    <w:tmpl w:val="955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5724D"/>
    <w:multiLevelType w:val="hybridMultilevel"/>
    <w:tmpl w:val="96085980"/>
    <w:lvl w:ilvl="0" w:tplc="EF6A33CA">
      <w:start w:val="1"/>
      <w:numFmt w:val="bullet"/>
      <w:lvlText w:val=""/>
      <w:lvlJc w:val="left"/>
      <w:pPr>
        <w:tabs>
          <w:tab w:val="num" w:pos="720"/>
        </w:tabs>
        <w:ind w:left="720" w:hanging="360"/>
      </w:pPr>
      <w:rPr>
        <w:rFonts w:ascii="Wingdings 2" w:hAnsi="Wingdings 2" w:hint="default"/>
      </w:rPr>
    </w:lvl>
    <w:lvl w:ilvl="1" w:tplc="4C00311E">
      <w:start w:val="708"/>
      <w:numFmt w:val="bullet"/>
      <w:lvlText w:val="–"/>
      <w:lvlJc w:val="left"/>
      <w:pPr>
        <w:tabs>
          <w:tab w:val="num" w:pos="1440"/>
        </w:tabs>
        <w:ind w:left="1440" w:hanging="360"/>
      </w:pPr>
      <w:rPr>
        <w:rFonts w:ascii="Times New Roman" w:hAnsi="Times New Roman" w:hint="default"/>
      </w:rPr>
    </w:lvl>
    <w:lvl w:ilvl="2" w:tplc="D71CD162" w:tentative="1">
      <w:start w:val="1"/>
      <w:numFmt w:val="bullet"/>
      <w:lvlText w:val=""/>
      <w:lvlJc w:val="left"/>
      <w:pPr>
        <w:tabs>
          <w:tab w:val="num" w:pos="2160"/>
        </w:tabs>
        <w:ind w:left="2160" w:hanging="360"/>
      </w:pPr>
      <w:rPr>
        <w:rFonts w:ascii="Wingdings 2" w:hAnsi="Wingdings 2" w:hint="default"/>
      </w:rPr>
    </w:lvl>
    <w:lvl w:ilvl="3" w:tplc="14E4B7FA" w:tentative="1">
      <w:start w:val="1"/>
      <w:numFmt w:val="bullet"/>
      <w:lvlText w:val=""/>
      <w:lvlJc w:val="left"/>
      <w:pPr>
        <w:tabs>
          <w:tab w:val="num" w:pos="2880"/>
        </w:tabs>
        <w:ind w:left="2880" w:hanging="360"/>
      </w:pPr>
      <w:rPr>
        <w:rFonts w:ascii="Wingdings 2" w:hAnsi="Wingdings 2" w:hint="default"/>
      </w:rPr>
    </w:lvl>
    <w:lvl w:ilvl="4" w:tplc="78A010C8" w:tentative="1">
      <w:start w:val="1"/>
      <w:numFmt w:val="bullet"/>
      <w:lvlText w:val=""/>
      <w:lvlJc w:val="left"/>
      <w:pPr>
        <w:tabs>
          <w:tab w:val="num" w:pos="3600"/>
        </w:tabs>
        <w:ind w:left="3600" w:hanging="360"/>
      </w:pPr>
      <w:rPr>
        <w:rFonts w:ascii="Wingdings 2" w:hAnsi="Wingdings 2" w:hint="default"/>
      </w:rPr>
    </w:lvl>
    <w:lvl w:ilvl="5" w:tplc="34621394" w:tentative="1">
      <w:start w:val="1"/>
      <w:numFmt w:val="bullet"/>
      <w:lvlText w:val=""/>
      <w:lvlJc w:val="left"/>
      <w:pPr>
        <w:tabs>
          <w:tab w:val="num" w:pos="4320"/>
        </w:tabs>
        <w:ind w:left="4320" w:hanging="360"/>
      </w:pPr>
      <w:rPr>
        <w:rFonts w:ascii="Wingdings 2" w:hAnsi="Wingdings 2" w:hint="default"/>
      </w:rPr>
    </w:lvl>
    <w:lvl w:ilvl="6" w:tplc="8208EE94" w:tentative="1">
      <w:start w:val="1"/>
      <w:numFmt w:val="bullet"/>
      <w:lvlText w:val=""/>
      <w:lvlJc w:val="left"/>
      <w:pPr>
        <w:tabs>
          <w:tab w:val="num" w:pos="5040"/>
        </w:tabs>
        <w:ind w:left="5040" w:hanging="360"/>
      </w:pPr>
      <w:rPr>
        <w:rFonts w:ascii="Wingdings 2" w:hAnsi="Wingdings 2" w:hint="default"/>
      </w:rPr>
    </w:lvl>
    <w:lvl w:ilvl="7" w:tplc="4606D726" w:tentative="1">
      <w:start w:val="1"/>
      <w:numFmt w:val="bullet"/>
      <w:lvlText w:val=""/>
      <w:lvlJc w:val="left"/>
      <w:pPr>
        <w:tabs>
          <w:tab w:val="num" w:pos="5760"/>
        </w:tabs>
        <w:ind w:left="5760" w:hanging="360"/>
      </w:pPr>
      <w:rPr>
        <w:rFonts w:ascii="Wingdings 2" w:hAnsi="Wingdings 2" w:hint="default"/>
      </w:rPr>
    </w:lvl>
    <w:lvl w:ilvl="8" w:tplc="85B0154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8"/>
  </w:num>
  <w:num w:numId="26">
    <w:abstractNumId w:val="0"/>
  </w:num>
  <w:num w:numId="27">
    <w:abstractNumId w:val="1"/>
  </w:num>
  <w:num w:numId="28">
    <w:abstractNumId w:val="5"/>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28033"/>
  </w:hdrShapeDefaults>
  <w:footnotePr>
    <w:footnote w:id="-1"/>
    <w:footnote w:id="0"/>
  </w:footnotePr>
  <w:endnotePr>
    <w:endnote w:id="-1"/>
    <w:endnote w:id="0"/>
  </w:endnotePr>
  <w:compat>
    <w:applyBreakingRules/>
    <w:useFELayout/>
    <w:compatSetting w:name="compatibilityMode" w:uri="http://schemas.microsoft.com/office/word" w:val="12"/>
  </w:compat>
  <w:rsids>
    <w:rsidRoot w:val="00947092"/>
    <w:rsid w:val="000009A6"/>
    <w:rsid w:val="000030FC"/>
    <w:rsid w:val="00003BDB"/>
    <w:rsid w:val="000048F6"/>
    <w:rsid w:val="00005EA4"/>
    <w:rsid w:val="000108C5"/>
    <w:rsid w:val="000112EB"/>
    <w:rsid w:val="0001131C"/>
    <w:rsid w:val="0001183F"/>
    <w:rsid w:val="00012538"/>
    <w:rsid w:val="00012F22"/>
    <w:rsid w:val="000130CF"/>
    <w:rsid w:val="000131CD"/>
    <w:rsid w:val="0001373A"/>
    <w:rsid w:val="00013B9A"/>
    <w:rsid w:val="00014421"/>
    <w:rsid w:val="00014970"/>
    <w:rsid w:val="00017FC1"/>
    <w:rsid w:val="00020167"/>
    <w:rsid w:val="0002357E"/>
    <w:rsid w:val="000240BC"/>
    <w:rsid w:val="00027213"/>
    <w:rsid w:val="000305FD"/>
    <w:rsid w:val="000336E0"/>
    <w:rsid w:val="00037DA9"/>
    <w:rsid w:val="00041CBA"/>
    <w:rsid w:val="00042091"/>
    <w:rsid w:val="000438CB"/>
    <w:rsid w:val="00043EDC"/>
    <w:rsid w:val="00044CCC"/>
    <w:rsid w:val="00046E05"/>
    <w:rsid w:val="00050CCB"/>
    <w:rsid w:val="000517B7"/>
    <w:rsid w:val="00051D78"/>
    <w:rsid w:val="0005339E"/>
    <w:rsid w:val="00054534"/>
    <w:rsid w:val="00057EC5"/>
    <w:rsid w:val="000605FA"/>
    <w:rsid w:val="00062BE4"/>
    <w:rsid w:val="0006468C"/>
    <w:rsid w:val="000649C5"/>
    <w:rsid w:val="00065239"/>
    <w:rsid w:val="00065F77"/>
    <w:rsid w:val="00066838"/>
    <w:rsid w:val="00067848"/>
    <w:rsid w:val="00070DBF"/>
    <w:rsid w:val="0007145B"/>
    <w:rsid w:val="00071558"/>
    <w:rsid w:val="00071F71"/>
    <w:rsid w:val="00072B1F"/>
    <w:rsid w:val="00073FE9"/>
    <w:rsid w:val="00077BE9"/>
    <w:rsid w:val="00081031"/>
    <w:rsid w:val="0008106D"/>
    <w:rsid w:val="00081BB6"/>
    <w:rsid w:val="0008557D"/>
    <w:rsid w:val="00086146"/>
    <w:rsid w:val="0008671F"/>
    <w:rsid w:val="00086B44"/>
    <w:rsid w:val="00086BB9"/>
    <w:rsid w:val="00087118"/>
    <w:rsid w:val="000877A2"/>
    <w:rsid w:val="00087DE6"/>
    <w:rsid w:val="000915DE"/>
    <w:rsid w:val="00095631"/>
    <w:rsid w:val="00095C66"/>
    <w:rsid w:val="000971F9"/>
    <w:rsid w:val="0009771C"/>
    <w:rsid w:val="000A0B32"/>
    <w:rsid w:val="000A0B55"/>
    <w:rsid w:val="000A26B8"/>
    <w:rsid w:val="000A3694"/>
    <w:rsid w:val="000A37C5"/>
    <w:rsid w:val="000A54D8"/>
    <w:rsid w:val="000A6AF9"/>
    <w:rsid w:val="000A6E91"/>
    <w:rsid w:val="000A6FFE"/>
    <w:rsid w:val="000B016D"/>
    <w:rsid w:val="000B059E"/>
    <w:rsid w:val="000B0EA9"/>
    <w:rsid w:val="000B11F6"/>
    <w:rsid w:val="000B16CB"/>
    <w:rsid w:val="000B3BC5"/>
    <w:rsid w:val="000B4B7A"/>
    <w:rsid w:val="000B5077"/>
    <w:rsid w:val="000B67BB"/>
    <w:rsid w:val="000B74E7"/>
    <w:rsid w:val="000C153D"/>
    <w:rsid w:val="000C178B"/>
    <w:rsid w:val="000C203C"/>
    <w:rsid w:val="000C2416"/>
    <w:rsid w:val="000C27E2"/>
    <w:rsid w:val="000C5472"/>
    <w:rsid w:val="000C645A"/>
    <w:rsid w:val="000C6633"/>
    <w:rsid w:val="000C6842"/>
    <w:rsid w:val="000D03DC"/>
    <w:rsid w:val="000D04CD"/>
    <w:rsid w:val="000D1915"/>
    <w:rsid w:val="000D6059"/>
    <w:rsid w:val="000D6F16"/>
    <w:rsid w:val="000D7418"/>
    <w:rsid w:val="000D7AE0"/>
    <w:rsid w:val="000D7F70"/>
    <w:rsid w:val="000E0F63"/>
    <w:rsid w:val="000E126B"/>
    <w:rsid w:val="000E2643"/>
    <w:rsid w:val="000E315D"/>
    <w:rsid w:val="000E39CC"/>
    <w:rsid w:val="000E3F01"/>
    <w:rsid w:val="000E5FD5"/>
    <w:rsid w:val="000E62B6"/>
    <w:rsid w:val="000E6A9A"/>
    <w:rsid w:val="000E6F72"/>
    <w:rsid w:val="000F13C8"/>
    <w:rsid w:val="000F1AEE"/>
    <w:rsid w:val="000F1E41"/>
    <w:rsid w:val="000F2412"/>
    <w:rsid w:val="000F3794"/>
    <w:rsid w:val="000F3BD8"/>
    <w:rsid w:val="000F4793"/>
    <w:rsid w:val="000F611D"/>
    <w:rsid w:val="000F6ACB"/>
    <w:rsid w:val="00100579"/>
    <w:rsid w:val="00101116"/>
    <w:rsid w:val="001015DC"/>
    <w:rsid w:val="00101902"/>
    <w:rsid w:val="00102B06"/>
    <w:rsid w:val="00102F28"/>
    <w:rsid w:val="00102F7A"/>
    <w:rsid w:val="00105B54"/>
    <w:rsid w:val="00105BF4"/>
    <w:rsid w:val="00106B10"/>
    <w:rsid w:val="00106B8F"/>
    <w:rsid w:val="00110D02"/>
    <w:rsid w:val="001113CE"/>
    <w:rsid w:val="00111A00"/>
    <w:rsid w:val="0011232E"/>
    <w:rsid w:val="001126EF"/>
    <w:rsid w:val="00112C6F"/>
    <w:rsid w:val="001134D0"/>
    <w:rsid w:val="001138A7"/>
    <w:rsid w:val="00113F41"/>
    <w:rsid w:val="001140F0"/>
    <w:rsid w:val="00114361"/>
    <w:rsid w:val="001147A1"/>
    <w:rsid w:val="00114DA1"/>
    <w:rsid w:val="00114FD2"/>
    <w:rsid w:val="00115672"/>
    <w:rsid w:val="00116523"/>
    <w:rsid w:val="001170F2"/>
    <w:rsid w:val="00122569"/>
    <w:rsid w:val="0012268A"/>
    <w:rsid w:val="00122738"/>
    <w:rsid w:val="00122E9F"/>
    <w:rsid w:val="0012597D"/>
    <w:rsid w:val="00125A16"/>
    <w:rsid w:val="0012623A"/>
    <w:rsid w:val="0012676E"/>
    <w:rsid w:val="00126C43"/>
    <w:rsid w:val="001276FA"/>
    <w:rsid w:val="00130DA1"/>
    <w:rsid w:val="00131298"/>
    <w:rsid w:val="00131F50"/>
    <w:rsid w:val="00133542"/>
    <w:rsid w:val="0013477A"/>
    <w:rsid w:val="001413C9"/>
    <w:rsid w:val="001418E3"/>
    <w:rsid w:val="00142615"/>
    <w:rsid w:val="00142FAF"/>
    <w:rsid w:val="00145231"/>
    <w:rsid w:val="001469A4"/>
    <w:rsid w:val="001516E9"/>
    <w:rsid w:val="00154D01"/>
    <w:rsid w:val="00156232"/>
    <w:rsid w:val="0015681F"/>
    <w:rsid w:val="00156DDB"/>
    <w:rsid w:val="0015724B"/>
    <w:rsid w:val="001579CF"/>
    <w:rsid w:val="00161090"/>
    <w:rsid w:val="00161685"/>
    <w:rsid w:val="00161805"/>
    <w:rsid w:val="00162C51"/>
    <w:rsid w:val="00162D90"/>
    <w:rsid w:val="00162F3A"/>
    <w:rsid w:val="0016318B"/>
    <w:rsid w:val="001637C6"/>
    <w:rsid w:val="00164E97"/>
    <w:rsid w:val="00164F1D"/>
    <w:rsid w:val="00166547"/>
    <w:rsid w:val="00166939"/>
    <w:rsid w:val="00166C0D"/>
    <w:rsid w:val="001710B2"/>
    <w:rsid w:val="00172651"/>
    <w:rsid w:val="00172CA4"/>
    <w:rsid w:val="00174687"/>
    <w:rsid w:val="0017493F"/>
    <w:rsid w:val="001756BC"/>
    <w:rsid w:val="00176393"/>
    <w:rsid w:val="00177AAF"/>
    <w:rsid w:val="00181947"/>
    <w:rsid w:val="00181E24"/>
    <w:rsid w:val="00182617"/>
    <w:rsid w:val="0018268C"/>
    <w:rsid w:val="00183F42"/>
    <w:rsid w:val="00185421"/>
    <w:rsid w:val="00185AB1"/>
    <w:rsid w:val="00186772"/>
    <w:rsid w:val="00187478"/>
    <w:rsid w:val="001904CA"/>
    <w:rsid w:val="00193C17"/>
    <w:rsid w:val="001961FF"/>
    <w:rsid w:val="00196409"/>
    <w:rsid w:val="001A0181"/>
    <w:rsid w:val="001A14AE"/>
    <w:rsid w:val="001A26AB"/>
    <w:rsid w:val="001A2B9E"/>
    <w:rsid w:val="001A4C1C"/>
    <w:rsid w:val="001A5793"/>
    <w:rsid w:val="001A6DB4"/>
    <w:rsid w:val="001A6F90"/>
    <w:rsid w:val="001A7236"/>
    <w:rsid w:val="001B03B1"/>
    <w:rsid w:val="001B13F6"/>
    <w:rsid w:val="001B18A2"/>
    <w:rsid w:val="001B284B"/>
    <w:rsid w:val="001B2C22"/>
    <w:rsid w:val="001B3F4E"/>
    <w:rsid w:val="001B68C7"/>
    <w:rsid w:val="001B6F25"/>
    <w:rsid w:val="001C0507"/>
    <w:rsid w:val="001C1D40"/>
    <w:rsid w:val="001C2A70"/>
    <w:rsid w:val="001C60F6"/>
    <w:rsid w:val="001C6150"/>
    <w:rsid w:val="001C6D35"/>
    <w:rsid w:val="001D12D9"/>
    <w:rsid w:val="001D1AFB"/>
    <w:rsid w:val="001D1D96"/>
    <w:rsid w:val="001D206B"/>
    <w:rsid w:val="001D3E81"/>
    <w:rsid w:val="001D4199"/>
    <w:rsid w:val="001D4305"/>
    <w:rsid w:val="001D4D9B"/>
    <w:rsid w:val="001D6D49"/>
    <w:rsid w:val="001E0094"/>
    <w:rsid w:val="001E0302"/>
    <w:rsid w:val="001E1B38"/>
    <w:rsid w:val="001E3384"/>
    <w:rsid w:val="001E40C6"/>
    <w:rsid w:val="001E50BE"/>
    <w:rsid w:val="001E6145"/>
    <w:rsid w:val="001E6A4B"/>
    <w:rsid w:val="001E7603"/>
    <w:rsid w:val="001F1093"/>
    <w:rsid w:val="001F192E"/>
    <w:rsid w:val="001F19E7"/>
    <w:rsid w:val="001F1EFE"/>
    <w:rsid w:val="001F36A2"/>
    <w:rsid w:val="001F3D64"/>
    <w:rsid w:val="001F436E"/>
    <w:rsid w:val="001F4F70"/>
    <w:rsid w:val="001F5482"/>
    <w:rsid w:val="001F5B08"/>
    <w:rsid w:val="001F5C4D"/>
    <w:rsid w:val="001F7639"/>
    <w:rsid w:val="001F77DE"/>
    <w:rsid w:val="001F787E"/>
    <w:rsid w:val="00200B48"/>
    <w:rsid w:val="002022E0"/>
    <w:rsid w:val="00203644"/>
    <w:rsid w:val="0020450F"/>
    <w:rsid w:val="00205B9F"/>
    <w:rsid w:val="00206ACC"/>
    <w:rsid w:val="002101B1"/>
    <w:rsid w:val="00210BE3"/>
    <w:rsid w:val="00212967"/>
    <w:rsid w:val="00212CE6"/>
    <w:rsid w:val="00214E75"/>
    <w:rsid w:val="00215BE9"/>
    <w:rsid w:val="002161DF"/>
    <w:rsid w:val="0021627A"/>
    <w:rsid w:val="00216630"/>
    <w:rsid w:val="00216E63"/>
    <w:rsid w:val="00217D75"/>
    <w:rsid w:val="00220577"/>
    <w:rsid w:val="002227A4"/>
    <w:rsid w:val="0022295F"/>
    <w:rsid w:val="00222C72"/>
    <w:rsid w:val="0022327D"/>
    <w:rsid w:val="00225D9A"/>
    <w:rsid w:val="00227234"/>
    <w:rsid w:val="00227DC9"/>
    <w:rsid w:val="00230B03"/>
    <w:rsid w:val="00231673"/>
    <w:rsid w:val="00232F72"/>
    <w:rsid w:val="00233C12"/>
    <w:rsid w:val="00234563"/>
    <w:rsid w:val="00234692"/>
    <w:rsid w:val="00234BF0"/>
    <w:rsid w:val="0023586B"/>
    <w:rsid w:val="002370B7"/>
    <w:rsid w:val="00237973"/>
    <w:rsid w:val="00241013"/>
    <w:rsid w:val="0024157B"/>
    <w:rsid w:val="002416A9"/>
    <w:rsid w:val="00242154"/>
    <w:rsid w:val="00242651"/>
    <w:rsid w:val="00244B5F"/>
    <w:rsid w:val="00244FC4"/>
    <w:rsid w:val="002450DF"/>
    <w:rsid w:val="00246139"/>
    <w:rsid w:val="00246C2F"/>
    <w:rsid w:val="0024755B"/>
    <w:rsid w:val="002502E4"/>
    <w:rsid w:val="002508D2"/>
    <w:rsid w:val="00252473"/>
    <w:rsid w:val="00252A01"/>
    <w:rsid w:val="002534E0"/>
    <w:rsid w:val="00253674"/>
    <w:rsid w:val="0025391E"/>
    <w:rsid w:val="002540F8"/>
    <w:rsid w:val="002547B9"/>
    <w:rsid w:val="00255B3A"/>
    <w:rsid w:val="00255D3C"/>
    <w:rsid w:val="00256481"/>
    <w:rsid w:val="00257F80"/>
    <w:rsid w:val="0026000D"/>
    <w:rsid w:val="002608DD"/>
    <w:rsid w:val="00261CEA"/>
    <w:rsid w:val="0026495E"/>
    <w:rsid w:val="002660DF"/>
    <w:rsid w:val="00266E13"/>
    <w:rsid w:val="00266F34"/>
    <w:rsid w:val="002675A1"/>
    <w:rsid w:val="00267971"/>
    <w:rsid w:val="00271760"/>
    <w:rsid w:val="00271C52"/>
    <w:rsid w:val="00272CC1"/>
    <w:rsid w:val="00272E54"/>
    <w:rsid w:val="002730D3"/>
    <w:rsid w:val="00274510"/>
    <w:rsid w:val="00274AA0"/>
    <w:rsid w:val="00275738"/>
    <w:rsid w:val="00276AE0"/>
    <w:rsid w:val="00277483"/>
    <w:rsid w:val="00277677"/>
    <w:rsid w:val="00280C28"/>
    <w:rsid w:val="00280DA8"/>
    <w:rsid w:val="002810F6"/>
    <w:rsid w:val="00281717"/>
    <w:rsid w:val="00282243"/>
    <w:rsid w:val="0028293A"/>
    <w:rsid w:val="00282A58"/>
    <w:rsid w:val="00283334"/>
    <w:rsid w:val="00284F02"/>
    <w:rsid w:val="0028631A"/>
    <w:rsid w:val="0028700F"/>
    <w:rsid w:val="00292089"/>
    <w:rsid w:val="00293388"/>
    <w:rsid w:val="002943D7"/>
    <w:rsid w:val="002957A3"/>
    <w:rsid w:val="002A0277"/>
    <w:rsid w:val="002A0299"/>
    <w:rsid w:val="002A08C8"/>
    <w:rsid w:val="002A1A13"/>
    <w:rsid w:val="002A1CCC"/>
    <w:rsid w:val="002A2011"/>
    <w:rsid w:val="002A3B28"/>
    <w:rsid w:val="002A408A"/>
    <w:rsid w:val="002A5C49"/>
    <w:rsid w:val="002A60D7"/>
    <w:rsid w:val="002B03BD"/>
    <w:rsid w:val="002B03DC"/>
    <w:rsid w:val="002B123E"/>
    <w:rsid w:val="002B277F"/>
    <w:rsid w:val="002B2FFB"/>
    <w:rsid w:val="002B3090"/>
    <w:rsid w:val="002B6916"/>
    <w:rsid w:val="002B6D6C"/>
    <w:rsid w:val="002C1CD3"/>
    <w:rsid w:val="002C235D"/>
    <w:rsid w:val="002C4C5F"/>
    <w:rsid w:val="002C5A8C"/>
    <w:rsid w:val="002C6676"/>
    <w:rsid w:val="002C6972"/>
    <w:rsid w:val="002C735C"/>
    <w:rsid w:val="002D15DA"/>
    <w:rsid w:val="002D4FE8"/>
    <w:rsid w:val="002D5EC6"/>
    <w:rsid w:val="002D60CB"/>
    <w:rsid w:val="002D72E2"/>
    <w:rsid w:val="002E07F8"/>
    <w:rsid w:val="002E09CB"/>
    <w:rsid w:val="002E169A"/>
    <w:rsid w:val="002E1A03"/>
    <w:rsid w:val="002E27E9"/>
    <w:rsid w:val="002E4199"/>
    <w:rsid w:val="002E4D2E"/>
    <w:rsid w:val="002E519D"/>
    <w:rsid w:val="002E58AB"/>
    <w:rsid w:val="002E5E7D"/>
    <w:rsid w:val="002E66B9"/>
    <w:rsid w:val="002E778F"/>
    <w:rsid w:val="002F1C8E"/>
    <w:rsid w:val="002F3461"/>
    <w:rsid w:val="002F42C0"/>
    <w:rsid w:val="002F5BF3"/>
    <w:rsid w:val="002F6691"/>
    <w:rsid w:val="002F67B7"/>
    <w:rsid w:val="00300241"/>
    <w:rsid w:val="003003AE"/>
    <w:rsid w:val="0030273B"/>
    <w:rsid w:val="003030A1"/>
    <w:rsid w:val="00303E4A"/>
    <w:rsid w:val="003066A2"/>
    <w:rsid w:val="003077CB"/>
    <w:rsid w:val="00307D00"/>
    <w:rsid w:val="00307E9E"/>
    <w:rsid w:val="00310489"/>
    <w:rsid w:val="00310CE0"/>
    <w:rsid w:val="00310F43"/>
    <w:rsid w:val="00311C1A"/>
    <w:rsid w:val="00312A7D"/>
    <w:rsid w:val="0031340A"/>
    <w:rsid w:val="00313C05"/>
    <w:rsid w:val="00313EC4"/>
    <w:rsid w:val="0031408D"/>
    <w:rsid w:val="003147EB"/>
    <w:rsid w:val="00314C79"/>
    <w:rsid w:val="00315528"/>
    <w:rsid w:val="00316587"/>
    <w:rsid w:val="0031736F"/>
    <w:rsid w:val="003202F3"/>
    <w:rsid w:val="00320D0B"/>
    <w:rsid w:val="00323236"/>
    <w:rsid w:val="003266F3"/>
    <w:rsid w:val="00331067"/>
    <w:rsid w:val="00331220"/>
    <w:rsid w:val="00331668"/>
    <w:rsid w:val="003319B7"/>
    <w:rsid w:val="00332953"/>
    <w:rsid w:val="00333989"/>
    <w:rsid w:val="003359FF"/>
    <w:rsid w:val="00335EF8"/>
    <w:rsid w:val="00341C1D"/>
    <w:rsid w:val="003436DD"/>
    <w:rsid w:val="0034457D"/>
    <w:rsid w:val="003459B5"/>
    <w:rsid w:val="00346010"/>
    <w:rsid w:val="003461A0"/>
    <w:rsid w:val="00346477"/>
    <w:rsid w:val="0034688E"/>
    <w:rsid w:val="00346A7B"/>
    <w:rsid w:val="0034727A"/>
    <w:rsid w:val="0035029A"/>
    <w:rsid w:val="00351099"/>
    <w:rsid w:val="00351F6C"/>
    <w:rsid w:val="00352D5A"/>
    <w:rsid w:val="0035309F"/>
    <w:rsid w:val="003539FB"/>
    <w:rsid w:val="00356185"/>
    <w:rsid w:val="003568B3"/>
    <w:rsid w:val="0035752F"/>
    <w:rsid w:val="00357FB8"/>
    <w:rsid w:val="00362CE9"/>
    <w:rsid w:val="0036400B"/>
    <w:rsid w:val="00366214"/>
    <w:rsid w:val="003663DC"/>
    <w:rsid w:val="00366BEC"/>
    <w:rsid w:val="00370B27"/>
    <w:rsid w:val="00370E01"/>
    <w:rsid w:val="00371174"/>
    <w:rsid w:val="003714A7"/>
    <w:rsid w:val="003733D1"/>
    <w:rsid w:val="003740BC"/>
    <w:rsid w:val="003757F8"/>
    <w:rsid w:val="003779CD"/>
    <w:rsid w:val="00377EAB"/>
    <w:rsid w:val="0038054D"/>
    <w:rsid w:val="00380855"/>
    <w:rsid w:val="00380B7F"/>
    <w:rsid w:val="00381304"/>
    <w:rsid w:val="00381F83"/>
    <w:rsid w:val="0038225D"/>
    <w:rsid w:val="003829F5"/>
    <w:rsid w:val="00382BDE"/>
    <w:rsid w:val="00382BFE"/>
    <w:rsid w:val="003832A3"/>
    <w:rsid w:val="00383D16"/>
    <w:rsid w:val="003844FE"/>
    <w:rsid w:val="00384ECB"/>
    <w:rsid w:val="00385742"/>
    <w:rsid w:val="00386A9B"/>
    <w:rsid w:val="00386EC6"/>
    <w:rsid w:val="003915CC"/>
    <w:rsid w:val="003924C3"/>
    <w:rsid w:val="00392DAD"/>
    <w:rsid w:val="0039372E"/>
    <w:rsid w:val="0039414E"/>
    <w:rsid w:val="0039485F"/>
    <w:rsid w:val="00396414"/>
    <w:rsid w:val="003965A6"/>
    <w:rsid w:val="00396DD2"/>
    <w:rsid w:val="003970B4"/>
    <w:rsid w:val="003976ED"/>
    <w:rsid w:val="003A0059"/>
    <w:rsid w:val="003A1211"/>
    <w:rsid w:val="003A31EA"/>
    <w:rsid w:val="003A3AE9"/>
    <w:rsid w:val="003A464D"/>
    <w:rsid w:val="003A4936"/>
    <w:rsid w:val="003A6E7E"/>
    <w:rsid w:val="003B0DC7"/>
    <w:rsid w:val="003B1171"/>
    <w:rsid w:val="003B2DC9"/>
    <w:rsid w:val="003B391B"/>
    <w:rsid w:val="003B5F0F"/>
    <w:rsid w:val="003B6040"/>
    <w:rsid w:val="003B7399"/>
    <w:rsid w:val="003C05B8"/>
    <w:rsid w:val="003C0B31"/>
    <w:rsid w:val="003C25F7"/>
    <w:rsid w:val="003C359A"/>
    <w:rsid w:val="003C3BF0"/>
    <w:rsid w:val="003C5857"/>
    <w:rsid w:val="003C666C"/>
    <w:rsid w:val="003C776F"/>
    <w:rsid w:val="003D00B1"/>
    <w:rsid w:val="003D0C45"/>
    <w:rsid w:val="003D10F3"/>
    <w:rsid w:val="003D155F"/>
    <w:rsid w:val="003D26EF"/>
    <w:rsid w:val="003D4124"/>
    <w:rsid w:val="003D41EE"/>
    <w:rsid w:val="003D4C3D"/>
    <w:rsid w:val="003D4C48"/>
    <w:rsid w:val="003D541F"/>
    <w:rsid w:val="003D574A"/>
    <w:rsid w:val="003D6B64"/>
    <w:rsid w:val="003D73F2"/>
    <w:rsid w:val="003D7467"/>
    <w:rsid w:val="003D7EF9"/>
    <w:rsid w:val="003E048D"/>
    <w:rsid w:val="003E24B3"/>
    <w:rsid w:val="003E24F9"/>
    <w:rsid w:val="003E363A"/>
    <w:rsid w:val="003E3D57"/>
    <w:rsid w:val="003E4778"/>
    <w:rsid w:val="003E7376"/>
    <w:rsid w:val="003F008F"/>
    <w:rsid w:val="003F05A1"/>
    <w:rsid w:val="003F09F5"/>
    <w:rsid w:val="003F0A02"/>
    <w:rsid w:val="003F66D1"/>
    <w:rsid w:val="003F68FC"/>
    <w:rsid w:val="003F6DC9"/>
    <w:rsid w:val="004020C5"/>
    <w:rsid w:val="0040268D"/>
    <w:rsid w:val="004032C4"/>
    <w:rsid w:val="00403551"/>
    <w:rsid w:val="00403D17"/>
    <w:rsid w:val="004065C0"/>
    <w:rsid w:val="00407F79"/>
    <w:rsid w:val="0041003B"/>
    <w:rsid w:val="00410D66"/>
    <w:rsid w:val="0041163A"/>
    <w:rsid w:val="004117F7"/>
    <w:rsid w:val="00413C1D"/>
    <w:rsid w:val="0041702C"/>
    <w:rsid w:val="0042265A"/>
    <w:rsid w:val="004230D5"/>
    <w:rsid w:val="004233B7"/>
    <w:rsid w:val="00423CC6"/>
    <w:rsid w:val="00423CCF"/>
    <w:rsid w:val="0042546C"/>
    <w:rsid w:val="004270AC"/>
    <w:rsid w:val="00427EDC"/>
    <w:rsid w:val="004301B9"/>
    <w:rsid w:val="00431577"/>
    <w:rsid w:val="00432007"/>
    <w:rsid w:val="00432A5E"/>
    <w:rsid w:val="004334D3"/>
    <w:rsid w:val="0043456D"/>
    <w:rsid w:val="00434B59"/>
    <w:rsid w:val="00435CE8"/>
    <w:rsid w:val="004363A8"/>
    <w:rsid w:val="004371F5"/>
    <w:rsid w:val="00437EC4"/>
    <w:rsid w:val="004418E3"/>
    <w:rsid w:val="00441B3F"/>
    <w:rsid w:val="00441CF7"/>
    <w:rsid w:val="00443C39"/>
    <w:rsid w:val="00444CE6"/>
    <w:rsid w:val="00445702"/>
    <w:rsid w:val="00446803"/>
    <w:rsid w:val="004477AD"/>
    <w:rsid w:val="00447F30"/>
    <w:rsid w:val="0045040F"/>
    <w:rsid w:val="00450914"/>
    <w:rsid w:val="00450E95"/>
    <w:rsid w:val="004511B7"/>
    <w:rsid w:val="0045135D"/>
    <w:rsid w:val="004530ED"/>
    <w:rsid w:val="00453A63"/>
    <w:rsid w:val="00454F72"/>
    <w:rsid w:val="004556CF"/>
    <w:rsid w:val="00456FB8"/>
    <w:rsid w:val="00460601"/>
    <w:rsid w:val="00460626"/>
    <w:rsid w:val="004606B2"/>
    <w:rsid w:val="004616EB"/>
    <w:rsid w:val="0046174D"/>
    <w:rsid w:val="00461CBD"/>
    <w:rsid w:val="004634EA"/>
    <w:rsid w:val="00464382"/>
    <w:rsid w:val="00464826"/>
    <w:rsid w:val="00464E70"/>
    <w:rsid w:val="00464F07"/>
    <w:rsid w:val="004651D5"/>
    <w:rsid w:val="00465D70"/>
    <w:rsid w:val="00467939"/>
    <w:rsid w:val="004679EF"/>
    <w:rsid w:val="00467DAE"/>
    <w:rsid w:val="004717B0"/>
    <w:rsid w:val="00471F3D"/>
    <w:rsid w:val="00471FDE"/>
    <w:rsid w:val="004748CF"/>
    <w:rsid w:val="004768FD"/>
    <w:rsid w:val="004801A1"/>
    <w:rsid w:val="004814B2"/>
    <w:rsid w:val="0048170F"/>
    <w:rsid w:val="00481955"/>
    <w:rsid w:val="00483579"/>
    <w:rsid w:val="004838AA"/>
    <w:rsid w:val="004839CC"/>
    <w:rsid w:val="00484DEE"/>
    <w:rsid w:val="0048791F"/>
    <w:rsid w:val="00490E85"/>
    <w:rsid w:val="004940E8"/>
    <w:rsid w:val="00494DF8"/>
    <w:rsid w:val="00495912"/>
    <w:rsid w:val="00496005"/>
    <w:rsid w:val="004960ED"/>
    <w:rsid w:val="004960FE"/>
    <w:rsid w:val="004967A6"/>
    <w:rsid w:val="00496A2F"/>
    <w:rsid w:val="00496C72"/>
    <w:rsid w:val="00497FB2"/>
    <w:rsid w:val="004A03D3"/>
    <w:rsid w:val="004A0723"/>
    <w:rsid w:val="004A0D66"/>
    <w:rsid w:val="004A1C89"/>
    <w:rsid w:val="004A2149"/>
    <w:rsid w:val="004A3A72"/>
    <w:rsid w:val="004A588F"/>
    <w:rsid w:val="004A646F"/>
    <w:rsid w:val="004A669E"/>
    <w:rsid w:val="004A6E20"/>
    <w:rsid w:val="004A7153"/>
    <w:rsid w:val="004A7C55"/>
    <w:rsid w:val="004B060D"/>
    <w:rsid w:val="004B1E96"/>
    <w:rsid w:val="004B20BB"/>
    <w:rsid w:val="004B23EB"/>
    <w:rsid w:val="004B729C"/>
    <w:rsid w:val="004B7530"/>
    <w:rsid w:val="004B7CB7"/>
    <w:rsid w:val="004B7EA2"/>
    <w:rsid w:val="004C03C3"/>
    <w:rsid w:val="004C0A96"/>
    <w:rsid w:val="004C1B9C"/>
    <w:rsid w:val="004C2797"/>
    <w:rsid w:val="004C3781"/>
    <w:rsid w:val="004C48E4"/>
    <w:rsid w:val="004C72A4"/>
    <w:rsid w:val="004C7418"/>
    <w:rsid w:val="004D108C"/>
    <w:rsid w:val="004D1810"/>
    <w:rsid w:val="004D19C4"/>
    <w:rsid w:val="004D1F74"/>
    <w:rsid w:val="004D3E36"/>
    <w:rsid w:val="004D45C4"/>
    <w:rsid w:val="004D667B"/>
    <w:rsid w:val="004D766C"/>
    <w:rsid w:val="004E216D"/>
    <w:rsid w:val="004E2965"/>
    <w:rsid w:val="004E2C86"/>
    <w:rsid w:val="004E3B6B"/>
    <w:rsid w:val="004E6252"/>
    <w:rsid w:val="004E6937"/>
    <w:rsid w:val="004E6ECB"/>
    <w:rsid w:val="004F025A"/>
    <w:rsid w:val="004F0295"/>
    <w:rsid w:val="004F079B"/>
    <w:rsid w:val="004F324F"/>
    <w:rsid w:val="004F33E1"/>
    <w:rsid w:val="004F52AE"/>
    <w:rsid w:val="004F55FA"/>
    <w:rsid w:val="004F58C5"/>
    <w:rsid w:val="004F6A81"/>
    <w:rsid w:val="00500BC9"/>
    <w:rsid w:val="0050122D"/>
    <w:rsid w:val="005029A8"/>
    <w:rsid w:val="005038B9"/>
    <w:rsid w:val="005045EF"/>
    <w:rsid w:val="00504627"/>
    <w:rsid w:val="00506D80"/>
    <w:rsid w:val="00507A1A"/>
    <w:rsid w:val="0051114B"/>
    <w:rsid w:val="005117CC"/>
    <w:rsid w:val="00511F5F"/>
    <w:rsid w:val="00512BA8"/>
    <w:rsid w:val="00513C29"/>
    <w:rsid w:val="005146EE"/>
    <w:rsid w:val="005146F0"/>
    <w:rsid w:val="005151D8"/>
    <w:rsid w:val="00515B35"/>
    <w:rsid w:val="0051614F"/>
    <w:rsid w:val="00517023"/>
    <w:rsid w:val="0052027F"/>
    <w:rsid w:val="00522122"/>
    <w:rsid w:val="005238C0"/>
    <w:rsid w:val="00523E00"/>
    <w:rsid w:val="005245F5"/>
    <w:rsid w:val="00524C89"/>
    <w:rsid w:val="00526529"/>
    <w:rsid w:val="005306EB"/>
    <w:rsid w:val="00530896"/>
    <w:rsid w:val="005309E9"/>
    <w:rsid w:val="00532541"/>
    <w:rsid w:val="00532A33"/>
    <w:rsid w:val="005331D3"/>
    <w:rsid w:val="0053467F"/>
    <w:rsid w:val="005351C1"/>
    <w:rsid w:val="005370EF"/>
    <w:rsid w:val="00537B02"/>
    <w:rsid w:val="00540DBA"/>
    <w:rsid w:val="00540EFC"/>
    <w:rsid w:val="00542194"/>
    <w:rsid w:val="00542FC4"/>
    <w:rsid w:val="00543B07"/>
    <w:rsid w:val="0054586C"/>
    <w:rsid w:val="00547380"/>
    <w:rsid w:val="005501F6"/>
    <w:rsid w:val="005503DC"/>
    <w:rsid w:val="00550607"/>
    <w:rsid w:val="00551501"/>
    <w:rsid w:val="00551E87"/>
    <w:rsid w:val="00555603"/>
    <w:rsid w:val="005575B7"/>
    <w:rsid w:val="00557D5C"/>
    <w:rsid w:val="0056095D"/>
    <w:rsid w:val="00562225"/>
    <w:rsid w:val="00570339"/>
    <w:rsid w:val="005714D7"/>
    <w:rsid w:val="00573006"/>
    <w:rsid w:val="00573CFF"/>
    <w:rsid w:val="0057600A"/>
    <w:rsid w:val="005800CB"/>
    <w:rsid w:val="00583200"/>
    <w:rsid w:val="00583511"/>
    <w:rsid w:val="00585065"/>
    <w:rsid w:val="00585157"/>
    <w:rsid w:val="0058570D"/>
    <w:rsid w:val="005860A9"/>
    <w:rsid w:val="005871CA"/>
    <w:rsid w:val="0058766C"/>
    <w:rsid w:val="0058780E"/>
    <w:rsid w:val="005929E0"/>
    <w:rsid w:val="005949F7"/>
    <w:rsid w:val="00594F3C"/>
    <w:rsid w:val="005A13A1"/>
    <w:rsid w:val="005A1BE7"/>
    <w:rsid w:val="005A2774"/>
    <w:rsid w:val="005A2C41"/>
    <w:rsid w:val="005A3128"/>
    <w:rsid w:val="005A367A"/>
    <w:rsid w:val="005A39CA"/>
    <w:rsid w:val="005A3FF0"/>
    <w:rsid w:val="005A51BF"/>
    <w:rsid w:val="005A590B"/>
    <w:rsid w:val="005A5F48"/>
    <w:rsid w:val="005A65B9"/>
    <w:rsid w:val="005A675E"/>
    <w:rsid w:val="005A69B6"/>
    <w:rsid w:val="005A7B9F"/>
    <w:rsid w:val="005A7D7D"/>
    <w:rsid w:val="005B03B8"/>
    <w:rsid w:val="005B28BA"/>
    <w:rsid w:val="005B2FAD"/>
    <w:rsid w:val="005B3A9F"/>
    <w:rsid w:val="005B3C50"/>
    <w:rsid w:val="005B4F32"/>
    <w:rsid w:val="005B711E"/>
    <w:rsid w:val="005B7D08"/>
    <w:rsid w:val="005C0D5D"/>
    <w:rsid w:val="005C1240"/>
    <w:rsid w:val="005C23A1"/>
    <w:rsid w:val="005C23BC"/>
    <w:rsid w:val="005C2874"/>
    <w:rsid w:val="005C5FCE"/>
    <w:rsid w:val="005C727C"/>
    <w:rsid w:val="005D0093"/>
    <w:rsid w:val="005D00E0"/>
    <w:rsid w:val="005D0204"/>
    <w:rsid w:val="005D19DA"/>
    <w:rsid w:val="005D21A5"/>
    <w:rsid w:val="005D3AB5"/>
    <w:rsid w:val="005D5492"/>
    <w:rsid w:val="005D5EEA"/>
    <w:rsid w:val="005D7779"/>
    <w:rsid w:val="005E0573"/>
    <w:rsid w:val="005E25C2"/>
    <w:rsid w:val="005E2E00"/>
    <w:rsid w:val="005E3606"/>
    <w:rsid w:val="005E3EC8"/>
    <w:rsid w:val="005E57DA"/>
    <w:rsid w:val="005E62F4"/>
    <w:rsid w:val="005E6880"/>
    <w:rsid w:val="005E784E"/>
    <w:rsid w:val="005F0A04"/>
    <w:rsid w:val="005F269B"/>
    <w:rsid w:val="005F4327"/>
    <w:rsid w:val="005F5325"/>
    <w:rsid w:val="005F63D9"/>
    <w:rsid w:val="005F7DCF"/>
    <w:rsid w:val="006014B7"/>
    <w:rsid w:val="00602945"/>
    <w:rsid w:val="006045C1"/>
    <w:rsid w:val="00604BCA"/>
    <w:rsid w:val="006056BD"/>
    <w:rsid w:val="00605C03"/>
    <w:rsid w:val="00606E2B"/>
    <w:rsid w:val="00606FCB"/>
    <w:rsid w:val="00607155"/>
    <w:rsid w:val="00610CB0"/>
    <w:rsid w:val="00611CE1"/>
    <w:rsid w:val="006128BC"/>
    <w:rsid w:val="00613472"/>
    <w:rsid w:val="00613F83"/>
    <w:rsid w:val="00614C20"/>
    <w:rsid w:val="006151CE"/>
    <w:rsid w:val="00615CFF"/>
    <w:rsid w:val="00616BA1"/>
    <w:rsid w:val="00616F37"/>
    <w:rsid w:val="006219D7"/>
    <w:rsid w:val="00622EB4"/>
    <w:rsid w:val="006236C0"/>
    <w:rsid w:val="00624D90"/>
    <w:rsid w:val="00627538"/>
    <w:rsid w:val="00630B93"/>
    <w:rsid w:val="00631537"/>
    <w:rsid w:val="00631C7F"/>
    <w:rsid w:val="0063215D"/>
    <w:rsid w:val="0063300D"/>
    <w:rsid w:val="006333D8"/>
    <w:rsid w:val="00633E8C"/>
    <w:rsid w:val="006347D9"/>
    <w:rsid w:val="00634C0D"/>
    <w:rsid w:val="0063582D"/>
    <w:rsid w:val="006358EC"/>
    <w:rsid w:val="006359F2"/>
    <w:rsid w:val="00635C6B"/>
    <w:rsid w:val="00635D5F"/>
    <w:rsid w:val="00637016"/>
    <w:rsid w:val="006374EC"/>
    <w:rsid w:val="00637742"/>
    <w:rsid w:val="00641972"/>
    <w:rsid w:val="006424B5"/>
    <w:rsid w:val="006427AA"/>
    <w:rsid w:val="00642A11"/>
    <w:rsid w:val="0064365B"/>
    <w:rsid w:val="00646FD4"/>
    <w:rsid w:val="00650DBA"/>
    <w:rsid w:val="00651457"/>
    <w:rsid w:val="00651555"/>
    <w:rsid w:val="00651BE3"/>
    <w:rsid w:val="0065356B"/>
    <w:rsid w:val="0065466C"/>
    <w:rsid w:val="006555D7"/>
    <w:rsid w:val="0065743A"/>
    <w:rsid w:val="006579D8"/>
    <w:rsid w:val="00657F71"/>
    <w:rsid w:val="00662C1E"/>
    <w:rsid w:val="006632B1"/>
    <w:rsid w:val="0066345E"/>
    <w:rsid w:val="00663A57"/>
    <w:rsid w:val="00663CC9"/>
    <w:rsid w:val="00663CCF"/>
    <w:rsid w:val="006645A0"/>
    <w:rsid w:val="006647DB"/>
    <w:rsid w:val="00664A7D"/>
    <w:rsid w:val="00664ACE"/>
    <w:rsid w:val="0066557C"/>
    <w:rsid w:val="00667DC0"/>
    <w:rsid w:val="00671E2C"/>
    <w:rsid w:val="00671FFE"/>
    <w:rsid w:val="0067206C"/>
    <w:rsid w:val="00672787"/>
    <w:rsid w:val="006740FB"/>
    <w:rsid w:val="006751C4"/>
    <w:rsid w:val="00680887"/>
    <w:rsid w:val="00680C79"/>
    <w:rsid w:val="00681383"/>
    <w:rsid w:val="00682399"/>
    <w:rsid w:val="0068274B"/>
    <w:rsid w:val="00682B55"/>
    <w:rsid w:val="00683AE0"/>
    <w:rsid w:val="0068487D"/>
    <w:rsid w:val="006852DD"/>
    <w:rsid w:val="0068626E"/>
    <w:rsid w:val="00686FED"/>
    <w:rsid w:val="0068775B"/>
    <w:rsid w:val="006877B4"/>
    <w:rsid w:val="0069037E"/>
    <w:rsid w:val="00691429"/>
    <w:rsid w:val="00691DF5"/>
    <w:rsid w:val="00692AE3"/>
    <w:rsid w:val="00692EF4"/>
    <w:rsid w:val="00693E3F"/>
    <w:rsid w:val="00694583"/>
    <w:rsid w:val="006946AC"/>
    <w:rsid w:val="006947E1"/>
    <w:rsid w:val="00695843"/>
    <w:rsid w:val="00695FB1"/>
    <w:rsid w:val="006977F6"/>
    <w:rsid w:val="00697F5D"/>
    <w:rsid w:val="006A048D"/>
    <w:rsid w:val="006A1C58"/>
    <w:rsid w:val="006A2F4A"/>
    <w:rsid w:val="006A372F"/>
    <w:rsid w:val="006A4A65"/>
    <w:rsid w:val="006A4C24"/>
    <w:rsid w:val="006A4F03"/>
    <w:rsid w:val="006A54C0"/>
    <w:rsid w:val="006A5523"/>
    <w:rsid w:val="006A55A4"/>
    <w:rsid w:val="006A635C"/>
    <w:rsid w:val="006A6A82"/>
    <w:rsid w:val="006A749A"/>
    <w:rsid w:val="006A7883"/>
    <w:rsid w:val="006B03B5"/>
    <w:rsid w:val="006B0AE1"/>
    <w:rsid w:val="006B0DC1"/>
    <w:rsid w:val="006B151A"/>
    <w:rsid w:val="006B3141"/>
    <w:rsid w:val="006B5576"/>
    <w:rsid w:val="006B6E4A"/>
    <w:rsid w:val="006C0571"/>
    <w:rsid w:val="006C1A91"/>
    <w:rsid w:val="006C25D4"/>
    <w:rsid w:val="006C2619"/>
    <w:rsid w:val="006C288E"/>
    <w:rsid w:val="006C39E2"/>
    <w:rsid w:val="006C3C6E"/>
    <w:rsid w:val="006C61BA"/>
    <w:rsid w:val="006C7E65"/>
    <w:rsid w:val="006D06CF"/>
    <w:rsid w:val="006D0771"/>
    <w:rsid w:val="006D10D0"/>
    <w:rsid w:val="006D1581"/>
    <w:rsid w:val="006D1595"/>
    <w:rsid w:val="006D1C23"/>
    <w:rsid w:val="006D333D"/>
    <w:rsid w:val="006D447F"/>
    <w:rsid w:val="006D4651"/>
    <w:rsid w:val="006D5CF0"/>
    <w:rsid w:val="006D62D4"/>
    <w:rsid w:val="006D7E85"/>
    <w:rsid w:val="006E06F3"/>
    <w:rsid w:val="006E1222"/>
    <w:rsid w:val="006E32F3"/>
    <w:rsid w:val="006E33AE"/>
    <w:rsid w:val="006E5934"/>
    <w:rsid w:val="006E5991"/>
    <w:rsid w:val="006F044F"/>
    <w:rsid w:val="006F086E"/>
    <w:rsid w:val="006F097A"/>
    <w:rsid w:val="006F0D0A"/>
    <w:rsid w:val="006F2151"/>
    <w:rsid w:val="006F2931"/>
    <w:rsid w:val="006F2E1F"/>
    <w:rsid w:val="006F4C12"/>
    <w:rsid w:val="006F4DB8"/>
    <w:rsid w:val="006F5CB3"/>
    <w:rsid w:val="006F6144"/>
    <w:rsid w:val="006F6988"/>
    <w:rsid w:val="006F6BCD"/>
    <w:rsid w:val="006F793F"/>
    <w:rsid w:val="006F7BED"/>
    <w:rsid w:val="006F7DD3"/>
    <w:rsid w:val="0070085D"/>
    <w:rsid w:val="00702961"/>
    <w:rsid w:val="00702D1D"/>
    <w:rsid w:val="00702E8A"/>
    <w:rsid w:val="0070355F"/>
    <w:rsid w:val="007038DA"/>
    <w:rsid w:val="00704751"/>
    <w:rsid w:val="00706C56"/>
    <w:rsid w:val="00706FF9"/>
    <w:rsid w:val="00707E90"/>
    <w:rsid w:val="00710203"/>
    <w:rsid w:val="00710C06"/>
    <w:rsid w:val="007111B9"/>
    <w:rsid w:val="0071258D"/>
    <w:rsid w:val="0071342C"/>
    <w:rsid w:val="007145A9"/>
    <w:rsid w:val="007201A7"/>
    <w:rsid w:val="00720618"/>
    <w:rsid w:val="0072243D"/>
    <w:rsid w:val="0072289D"/>
    <w:rsid w:val="00722FE7"/>
    <w:rsid w:val="00725614"/>
    <w:rsid w:val="0072678B"/>
    <w:rsid w:val="00726BD0"/>
    <w:rsid w:val="00727C70"/>
    <w:rsid w:val="0073217B"/>
    <w:rsid w:val="00732CA7"/>
    <w:rsid w:val="00732DCE"/>
    <w:rsid w:val="007337B4"/>
    <w:rsid w:val="007344C8"/>
    <w:rsid w:val="007357B1"/>
    <w:rsid w:val="00735AF3"/>
    <w:rsid w:val="0073693E"/>
    <w:rsid w:val="00740F7E"/>
    <w:rsid w:val="007414E0"/>
    <w:rsid w:val="00741A12"/>
    <w:rsid w:val="00741EE2"/>
    <w:rsid w:val="00742C9A"/>
    <w:rsid w:val="00742E99"/>
    <w:rsid w:val="00743743"/>
    <w:rsid w:val="00744ADE"/>
    <w:rsid w:val="00744F24"/>
    <w:rsid w:val="00745A0A"/>
    <w:rsid w:val="00750474"/>
    <w:rsid w:val="00750A7D"/>
    <w:rsid w:val="00751A31"/>
    <w:rsid w:val="00752176"/>
    <w:rsid w:val="007531A9"/>
    <w:rsid w:val="00754B8A"/>
    <w:rsid w:val="00755464"/>
    <w:rsid w:val="0076130F"/>
    <w:rsid w:val="00762003"/>
    <w:rsid w:val="00762A19"/>
    <w:rsid w:val="00763687"/>
    <w:rsid w:val="00764016"/>
    <w:rsid w:val="00764047"/>
    <w:rsid w:val="00764A5B"/>
    <w:rsid w:val="00765228"/>
    <w:rsid w:val="0076523F"/>
    <w:rsid w:val="00766963"/>
    <w:rsid w:val="00766991"/>
    <w:rsid w:val="00770C4B"/>
    <w:rsid w:val="007719F2"/>
    <w:rsid w:val="00772540"/>
    <w:rsid w:val="00773D26"/>
    <w:rsid w:val="00774BA6"/>
    <w:rsid w:val="00775C01"/>
    <w:rsid w:val="00776CB2"/>
    <w:rsid w:val="00777647"/>
    <w:rsid w:val="007808FA"/>
    <w:rsid w:val="007820F6"/>
    <w:rsid w:val="00783E6D"/>
    <w:rsid w:val="0078572B"/>
    <w:rsid w:val="007875D3"/>
    <w:rsid w:val="007879A1"/>
    <w:rsid w:val="00787F0D"/>
    <w:rsid w:val="0079017B"/>
    <w:rsid w:val="007A0B0A"/>
    <w:rsid w:val="007A0FA8"/>
    <w:rsid w:val="007A1CAA"/>
    <w:rsid w:val="007A331C"/>
    <w:rsid w:val="007A3E41"/>
    <w:rsid w:val="007A4054"/>
    <w:rsid w:val="007A54FB"/>
    <w:rsid w:val="007A637C"/>
    <w:rsid w:val="007A6479"/>
    <w:rsid w:val="007B0D8C"/>
    <w:rsid w:val="007B1AB0"/>
    <w:rsid w:val="007B2A87"/>
    <w:rsid w:val="007B3863"/>
    <w:rsid w:val="007B4C1D"/>
    <w:rsid w:val="007B5524"/>
    <w:rsid w:val="007B566A"/>
    <w:rsid w:val="007B6876"/>
    <w:rsid w:val="007B6B6F"/>
    <w:rsid w:val="007C0A46"/>
    <w:rsid w:val="007C0D5C"/>
    <w:rsid w:val="007C178A"/>
    <w:rsid w:val="007C301A"/>
    <w:rsid w:val="007C3890"/>
    <w:rsid w:val="007C4C3F"/>
    <w:rsid w:val="007C64F3"/>
    <w:rsid w:val="007C680F"/>
    <w:rsid w:val="007C6C17"/>
    <w:rsid w:val="007D04CE"/>
    <w:rsid w:val="007D0780"/>
    <w:rsid w:val="007D1378"/>
    <w:rsid w:val="007D1522"/>
    <w:rsid w:val="007D2640"/>
    <w:rsid w:val="007D2CF5"/>
    <w:rsid w:val="007D3CEF"/>
    <w:rsid w:val="007D604F"/>
    <w:rsid w:val="007D76CA"/>
    <w:rsid w:val="007E1C4B"/>
    <w:rsid w:val="007E1CBB"/>
    <w:rsid w:val="007E2498"/>
    <w:rsid w:val="007E4055"/>
    <w:rsid w:val="007E43EF"/>
    <w:rsid w:val="007E558B"/>
    <w:rsid w:val="007E5F40"/>
    <w:rsid w:val="007E78BF"/>
    <w:rsid w:val="007F0C64"/>
    <w:rsid w:val="007F25FB"/>
    <w:rsid w:val="007F39DD"/>
    <w:rsid w:val="007F3B7E"/>
    <w:rsid w:val="007F57D5"/>
    <w:rsid w:val="007F5962"/>
    <w:rsid w:val="007F65AE"/>
    <w:rsid w:val="007F6B7D"/>
    <w:rsid w:val="0080053D"/>
    <w:rsid w:val="00800AAA"/>
    <w:rsid w:val="00803327"/>
    <w:rsid w:val="00804874"/>
    <w:rsid w:val="00805BD4"/>
    <w:rsid w:val="008060A2"/>
    <w:rsid w:val="00806DB2"/>
    <w:rsid w:val="008138A4"/>
    <w:rsid w:val="008154B7"/>
    <w:rsid w:val="008175D7"/>
    <w:rsid w:val="0082012E"/>
    <w:rsid w:val="008202F6"/>
    <w:rsid w:val="0082038A"/>
    <w:rsid w:val="00821F59"/>
    <w:rsid w:val="0082282C"/>
    <w:rsid w:val="00823F91"/>
    <w:rsid w:val="00825B42"/>
    <w:rsid w:val="00825D1D"/>
    <w:rsid w:val="00826567"/>
    <w:rsid w:val="008306B3"/>
    <w:rsid w:val="00831820"/>
    <w:rsid w:val="00831CFC"/>
    <w:rsid w:val="008326AE"/>
    <w:rsid w:val="00832740"/>
    <w:rsid w:val="0083287B"/>
    <w:rsid w:val="00833195"/>
    <w:rsid w:val="00834DEB"/>
    <w:rsid w:val="00834E14"/>
    <w:rsid w:val="00836C83"/>
    <w:rsid w:val="00837594"/>
    <w:rsid w:val="00837866"/>
    <w:rsid w:val="00842F53"/>
    <w:rsid w:val="008434E6"/>
    <w:rsid w:val="00843814"/>
    <w:rsid w:val="00843AF6"/>
    <w:rsid w:val="00843BD4"/>
    <w:rsid w:val="00844217"/>
    <w:rsid w:val="00844B60"/>
    <w:rsid w:val="00844C55"/>
    <w:rsid w:val="00846010"/>
    <w:rsid w:val="00850175"/>
    <w:rsid w:val="0085087F"/>
    <w:rsid w:val="008515ED"/>
    <w:rsid w:val="00855F19"/>
    <w:rsid w:val="00856885"/>
    <w:rsid w:val="0085784B"/>
    <w:rsid w:val="00857E05"/>
    <w:rsid w:val="00860345"/>
    <w:rsid w:val="00861226"/>
    <w:rsid w:val="008612BE"/>
    <w:rsid w:val="0086169E"/>
    <w:rsid w:val="0086232A"/>
    <w:rsid w:val="00863A7E"/>
    <w:rsid w:val="008642B2"/>
    <w:rsid w:val="00864F6C"/>
    <w:rsid w:val="00867762"/>
    <w:rsid w:val="0086786C"/>
    <w:rsid w:val="0087067C"/>
    <w:rsid w:val="00872B5F"/>
    <w:rsid w:val="00873445"/>
    <w:rsid w:val="0087514D"/>
    <w:rsid w:val="00876A51"/>
    <w:rsid w:val="00876ABA"/>
    <w:rsid w:val="00880C36"/>
    <w:rsid w:val="008820A1"/>
    <w:rsid w:val="0088265B"/>
    <w:rsid w:val="00882D12"/>
    <w:rsid w:val="00884D00"/>
    <w:rsid w:val="00885AAE"/>
    <w:rsid w:val="008864B9"/>
    <w:rsid w:val="00886F89"/>
    <w:rsid w:val="00890605"/>
    <w:rsid w:val="0089117F"/>
    <w:rsid w:val="00892B39"/>
    <w:rsid w:val="00892D0D"/>
    <w:rsid w:val="00892FAA"/>
    <w:rsid w:val="00893A58"/>
    <w:rsid w:val="00895855"/>
    <w:rsid w:val="00896797"/>
    <w:rsid w:val="008A0D31"/>
    <w:rsid w:val="008A0D76"/>
    <w:rsid w:val="008A14D9"/>
    <w:rsid w:val="008A1CA8"/>
    <w:rsid w:val="008A2FCF"/>
    <w:rsid w:val="008A3D52"/>
    <w:rsid w:val="008A3EBF"/>
    <w:rsid w:val="008A41EB"/>
    <w:rsid w:val="008A434C"/>
    <w:rsid w:val="008A6193"/>
    <w:rsid w:val="008A683B"/>
    <w:rsid w:val="008A6C43"/>
    <w:rsid w:val="008A6D1A"/>
    <w:rsid w:val="008A7A25"/>
    <w:rsid w:val="008A7BA9"/>
    <w:rsid w:val="008B014D"/>
    <w:rsid w:val="008B20BC"/>
    <w:rsid w:val="008B2546"/>
    <w:rsid w:val="008B3798"/>
    <w:rsid w:val="008B730E"/>
    <w:rsid w:val="008C26E6"/>
    <w:rsid w:val="008C55A6"/>
    <w:rsid w:val="008C59A3"/>
    <w:rsid w:val="008C5EDE"/>
    <w:rsid w:val="008C6302"/>
    <w:rsid w:val="008C69CA"/>
    <w:rsid w:val="008C6FD6"/>
    <w:rsid w:val="008D010F"/>
    <w:rsid w:val="008D1B1D"/>
    <w:rsid w:val="008D23E5"/>
    <w:rsid w:val="008D247A"/>
    <w:rsid w:val="008D377F"/>
    <w:rsid w:val="008D3DF2"/>
    <w:rsid w:val="008D4FB6"/>
    <w:rsid w:val="008D6AC2"/>
    <w:rsid w:val="008D6BFE"/>
    <w:rsid w:val="008E19B1"/>
    <w:rsid w:val="008E1A09"/>
    <w:rsid w:val="008E34D3"/>
    <w:rsid w:val="008E40C3"/>
    <w:rsid w:val="008E4C5E"/>
    <w:rsid w:val="008E51FA"/>
    <w:rsid w:val="008F2290"/>
    <w:rsid w:val="008F3AC9"/>
    <w:rsid w:val="008F41D9"/>
    <w:rsid w:val="008F42E0"/>
    <w:rsid w:val="008F44C3"/>
    <w:rsid w:val="008F45C4"/>
    <w:rsid w:val="008F489C"/>
    <w:rsid w:val="008F73D7"/>
    <w:rsid w:val="008F7708"/>
    <w:rsid w:val="0090061C"/>
    <w:rsid w:val="00901053"/>
    <w:rsid w:val="00902ACB"/>
    <w:rsid w:val="00903620"/>
    <w:rsid w:val="009037FA"/>
    <w:rsid w:val="00903EFF"/>
    <w:rsid w:val="0090584E"/>
    <w:rsid w:val="00906F52"/>
    <w:rsid w:val="0090708B"/>
    <w:rsid w:val="0090712B"/>
    <w:rsid w:val="00907FF9"/>
    <w:rsid w:val="00910692"/>
    <w:rsid w:val="00910D01"/>
    <w:rsid w:val="00911073"/>
    <w:rsid w:val="00911F46"/>
    <w:rsid w:val="009122AD"/>
    <w:rsid w:val="009139BA"/>
    <w:rsid w:val="0091442B"/>
    <w:rsid w:val="00916B83"/>
    <w:rsid w:val="00917CA4"/>
    <w:rsid w:val="00923531"/>
    <w:rsid w:val="009252CD"/>
    <w:rsid w:val="009262DB"/>
    <w:rsid w:val="0092742B"/>
    <w:rsid w:val="009301A4"/>
    <w:rsid w:val="009309DC"/>
    <w:rsid w:val="00930CB7"/>
    <w:rsid w:val="009311F2"/>
    <w:rsid w:val="009313A0"/>
    <w:rsid w:val="00932546"/>
    <w:rsid w:val="009335F2"/>
    <w:rsid w:val="009338D6"/>
    <w:rsid w:val="00934D11"/>
    <w:rsid w:val="00935DF7"/>
    <w:rsid w:val="00936546"/>
    <w:rsid w:val="00936FDA"/>
    <w:rsid w:val="0093782E"/>
    <w:rsid w:val="00937E16"/>
    <w:rsid w:val="00942624"/>
    <w:rsid w:val="009438A3"/>
    <w:rsid w:val="0094669B"/>
    <w:rsid w:val="00946D63"/>
    <w:rsid w:val="00947092"/>
    <w:rsid w:val="00947D65"/>
    <w:rsid w:val="009501D0"/>
    <w:rsid w:val="00950A3B"/>
    <w:rsid w:val="00950D8F"/>
    <w:rsid w:val="009520D4"/>
    <w:rsid w:val="0095321A"/>
    <w:rsid w:val="0095355A"/>
    <w:rsid w:val="009537E3"/>
    <w:rsid w:val="009544EB"/>
    <w:rsid w:val="00954B05"/>
    <w:rsid w:val="009555EA"/>
    <w:rsid w:val="0095614B"/>
    <w:rsid w:val="00957237"/>
    <w:rsid w:val="00957338"/>
    <w:rsid w:val="009574E9"/>
    <w:rsid w:val="00957A1E"/>
    <w:rsid w:val="00957DEE"/>
    <w:rsid w:val="00957E8C"/>
    <w:rsid w:val="00957EE3"/>
    <w:rsid w:val="00957F0B"/>
    <w:rsid w:val="0096410D"/>
    <w:rsid w:val="009646E9"/>
    <w:rsid w:val="009648EE"/>
    <w:rsid w:val="00964C1E"/>
    <w:rsid w:val="00964C41"/>
    <w:rsid w:val="00964DD3"/>
    <w:rsid w:val="0096625E"/>
    <w:rsid w:val="00966650"/>
    <w:rsid w:val="009670E2"/>
    <w:rsid w:val="00967BC2"/>
    <w:rsid w:val="00970383"/>
    <w:rsid w:val="00970697"/>
    <w:rsid w:val="00970A03"/>
    <w:rsid w:val="00971DE7"/>
    <w:rsid w:val="00976C94"/>
    <w:rsid w:val="009779B5"/>
    <w:rsid w:val="00981302"/>
    <w:rsid w:val="00981F84"/>
    <w:rsid w:val="00985376"/>
    <w:rsid w:val="0099054B"/>
    <w:rsid w:val="00991FC1"/>
    <w:rsid w:val="00993B11"/>
    <w:rsid w:val="009944E8"/>
    <w:rsid w:val="00994DBE"/>
    <w:rsid w:val="00994DD3"/>
    <w:rsid w:val="00996BDC"/>
    <w:rsid w:val="00996D3F"/>
    <w:rsid w:val="00996E69"/>
    <w:rsid w:val="009976D0"/>
    <w:rsid w:val="009A04B7"/>
    <w:rsid w:val="009A0DC8"/>
    <w:rsid w:val="009A18E6"/>
    <w:rsid w:val="009A208E"/>
    <w:rsid w:val="009A5BDB"/>
    <w:rsid w:val="009A5FB7"/>
    <w:rsid w:val="009A64A7"/>
    <w:rsid w:val="009A6569"/>
    <w:rsid w:val="009A6599"/>
    <w:rsid w:val="009A71AA"/>
    <w:rsid w:val="009B0C64"/>
    <w:rsid w:val="009B1014"/>
    <w:rsid w:val="009B18F3"/>
    <w:rsid w:val="009B1C73"/>
    <w:rsid w:val="009B230D"/>
    <w:rsid w:val="009B26B6"/>
    <w:rsid w:val="009B5383"/>
    <w:rsid w:val="009B5B06"/>
    <w:rsid w:val="009B6331"/>
    <w:rsid w:val="009B7A0C"/>
    <w:rsid w:val="009C153D"/>
    <w:rsid w:val="009C1ADF"/>
    <w:rsid w:val="009C2578"/>
    <w:rsid w:val="009C27B5"/>
    <w:rsid w:val="009C4AC6"/>
    <w:rsid w:val="009C7065"/>
    <w:rsid w:val="009C7F3A"/>
    <w:rsid w:val="009D023D"/>
    <w:rsid w:val="009D0D19"/>
    <w:rsid w:val="009D1706"/>
    <w:rsid w:val="009D228E"/>
    <w:rsid w:val="009D2F8D"/>
    <w:rsid w:val="009D377B"/>
    <w:rsid w:val="009D4610"/>
    <w:rsid w:val="009D4641"/>
    <w:rsid w:val="009D4E1C"/>
    <w:rsid w:val="009D60CC"/>
    <w:rsid w:val="009D7651"/>
    <w:rsid w:val="009D7E6B"/>
    <w:rsid w:val="009E06AC"/>
    <w:rsid w:val="009E1775"/>
    <w:rsid w:val="009E1AB8"/>
    <w:rsid w:val="009E34F0"/>
    <w:rsid w:val="009E3E1D"/>
    <w:rsid w:val="009E51CA"/>
    <w:rsid w:val="009E77BD"/>
    <w:rsid w:val="009F23B6"/>
    <w:rsid w:val="009F27F3"/>
    <w:rsid w:val="009F3E33"/>
    <w:rsid w:val="009F43DD"/>
    <w:rsid w:val="009F6489"/>
    <w:rsid w:val="009F733A"/>
    <w:rsid w:val="00A0377D"/>
    <w:rsid w:val="00A03A48"/>
    <w:rsid w:val="00A046B1"/>
    <w:rsid w:val="00A0599A"/>
    <w:rsid w:val="00A07D4D"/>
    <w:rsid w:val="00A11626"/>
    <w:rsid w:val="00A11C45"/>
    <w:rsid w:val="00A1278F"/>
    <w:rsid w:val="00A128A5"/>
    <w:rsid w:val="00A12C86"/>
    <w:rsid w:val="00A131F6"/>
    <w:rsid w:val="00A14A00"/>
    <w:rsid w:val="00A14D8B"/>
    <w:rsid w:val="00A14E85"/>
    <w:rsid w:val="00A15060"/>
    <w:rsid w:val="00A15E8F"/>
    <w:rsid w:val="00A17002"/>
    <w:rsid w:val="00A17612"/>
    <w:rsid w:val="00A1762F"/>
    <w:rsid w:val="00A17B43"/>
    <w:rsid w:val="00A21930"/>
    <w:rsid w:val="00A227C1"/>
    <w:rsid w:val="00A2330D"/>
    <w:rsid w:val="00A23B3E"/>
    <w:rsid w:val="00A24DCD"/>
    <w:rsid w:val="00A25A4F"/>
    <w:rsid w:val="00A2734E"/>
    <w:rsid w:val="00A27C1F"/>
    <w:rsid w:val="00A27C39"/>
    <w:rsid w:val="00A27CAB"/>
    <w:rsid w:val="00A3052C"/>
    <w:rsid w:val="00A31F19"/>
    <w:rsid w:val="00A3284B"/>
    <w:rsid w:val="00A330E1"/>
    <w:rsid w:val="00A3396A"/>
    <w:rsid w:val="00A33E43"/>
    <w:rsid w:val="00A3468F"/>
    <w:rsid w:val="00A34739"/>
    <w:rsid w:val="00A34B68"/>
    <w:rsid w:val="00A37057"/>
    <w:rsid w:val="00A37498"/>
    <w:rsid w:val="00A37DE2"/>
    <w:rsid w:val="00A413F4"/>
    <w:rsid w:val="00A42162"/>
    <w:rsid w:val="00A425E1"/>
    <w:rsid w:val="00A42C96"/>
    <w:rsid w:val="00A46B47"/>
    <w:rsid w:val="00A505A0"/>
    <w:rsid w:val="00A50B31"/>
    <w:rsid w:val="00A51FFD"/>
    <w:rsid w:val="00A52ED2"/>
    <w:rsid w:val="00A5314F"/>
    <w:rsid w:val="00A53589"/>
    <w:rsid w:val="00A53B81"/>
    <w:rsid w:val="00A544D2"/>
    <w:rsid w:val="00A55B10"/>
    <w:rsid w:val="00A567D2"/>
    <w:rsid w:val="00A56E08"/>
    <w:rsid w:val="00A56E49"/>
    <w:rsid w:val="00A57BDD"/>
    <w:rsid w:val="00A57D92"/>
    <w:rsid w:val="00A618DB"/>
    <w:rsid w:val="00A629D4"/>
    <w:rsid w:val="00A632F3"/>
    <w:rsid w:val="00A63A04"/>
    <w:rsid w:val="00A64ACD"/>
    <w:rsid w:val="00A64D77"/>
    <w:rsid w:val="00A67435"/>
    <w:rsid w:val="00A67536"/>
    <w:rsid w:val="00A675BF"/>
    <w:rsid w:val="00A6787C"/>
    <w:rsid w:val="00A738A0"/>
    <w:rsid w:val="00A73923"/>
    <w:rsid w:val="00A76383"/>
    <w:rsid w:val="00A826CB"/>
    <w:rsid w:val="00A830A1"/>
    <w:rsid w:val="00A840DB"/>
    <w:rsid w:val="00A85169"/>
    <w:rsid w:val="00A8592D"/>
    <w:rsid w:val="00A85B4F"/>
    <w:rsid w:val="00A863D6"/>
    <w:rsid w:val="00A865EA"/>
    <w:rsid w:val="00A867A3"/>
    <w:rsid w:val="00A86F99"/>
    <w:rsid w:val="00A875F9"/>
    <w:rsid w:val="00A945C5"/>
    <w:rsid w:val="00A94D24"/>
    <w:rsid w:val="00A95715"/>
    <w:rsid w:val="00A96389"/>
    <w:rsid w:val="00A9689A"/>
    <w:rsid w:val="00AA04E2"/>
    <w:rsid w:val="00AA0D5D"/>
    <w:rsid w:val="00AA1523"/>
    <w:rsid w:val="00AA1D6B"/>
    <w:rsid w:val="00AA24C8"/>
    <w:rsid w:val="00AA25C7"/>
    <w:rsid w:val="00AA3CC5"/>
    <w:rsid w:val="00AA5417"/>
    <w:rsid w:val="00AA6310"/>
    <w:rsid w:val="00AA715C"/>
    <w:rsid w:val="00AA724B"/>
    <w:rsid w:val="00AA7C05"/>
    <w:rsid w:val="00AB03DC"/>
    <w:rsid w:val="00AB04D4"/>
    <w:rsid w:val="00AB302A"/>
    <w:rsid w:val="00AB43C0"/>
    <w:rsid w:val="00AB4B4A"/>
    <w:rsid w:val="00AB569C"/>
    <w:rsid w:val="00AB7BEE"/>
    <w:rsid w:val="00AC0511"/>
    <w:rsid w:val="00AC2F76"/>
    <w:rsid w:val="00AC30C4"/>
    <w:rsid w:val="00AC30E1"/>
    <w:rsid w:val="00AC36AB"/>
    <w:rsid w:val="00AC3F8D"/>
    <w:rsid w:val="00AC4102"/>
    <w:rsid w:val="00AC43D4"/>
    <w:rsid w:val="00AC7A7F"/>
    <w:rsid w:val="00AD03DB"/>
    <w:rsid w:val="00AD03EE"/>
    <w:rsid w:val="00AD0709"/>
    <w:rsid w:val="00AD4164"/>
    <w:rsid w:val="00AD4DE5"/>
    <w:rsid w:val="00AD5303"/>
    <w:rsid w:val="00AD537B"/>
    <w:rsid w:val="00AD7B52"/>
    <w:rsid w:val="00AE051F"/>
    <w:rsid w:val="00AE1792"/>
    <w:rsid w:val="00AE3BDF"/>
    <w:rsid w:val="00AE409F"/>
    <w:rsid w:val="00AE668A"/>
    <w:rsid w:val="00AF0563"/>
    <w:rsid w:val="00AF09E1"/>
    <w:rsid w:val="00AF0E5C"/>
    <w:rsid w:val="00AF1023"/>
    <w:rsid w:val="00AF122F"/>
    <w:rsid w:val="00AF1528"/>
    <w:rsid w:val="00AF30A0"/>
    <w:rsid w:val="00AF3996"/>
    <w:rsid w:val="00AF3C9C"/>
    <w:rsid w:val="00AF6525"/>
    <w:rsid w:val="00AF6A83"/>
    <w:rsid w:val="00AF71C1"/>
    <w:rsid w:val="00B00706"/>
    <w:rsid w:val="00B00B68"/>
    <w:rsid w:val="00B017EE"/>
    <w:rsid w:val="00B029AF"/>
    <w:rsid w:val="00B038C2"/>
    <w:rsid w:val="00B05383"/>
    <w:rsid w:val="00B05619"/>
    <w:rsid w:val="00B05928"/>
    <w:rsid w:val="00B05D6B"/>
    <w:rsid w:val="00B061CD"/>
    <w:rsid w:val="00B102D9"/>
    <w:rsid w:val="00B10895"/>
    <w:rsid w:val="00B1100D"/>
    <w:rsid w:val="00B125B2"/>
    <w:rsid w:val="00B12DDF"/>
    <w:rsid w:val="00B13742"/>
    <w:rsid w:val="00B14BDF"/>
    <w:rsid w:val="00B230CA"/>
    <w:rsid w:val="00B243E8"/>
    <w:rsid w:val="00B25D13"/>
    <w:rsid w:val="00B25DA3"/>
    <w:rsid w:val="00B25ECA"/>
    <w:rsid w:val="00B265C3"/>
    <w:rsid w:val="00B27594"/>
    <w:rsid w:val="00B304FE"/>
    <w:rsid w:val="00B30729"/>
    <w:rsid w:val="00B30929"/>
    <w:rsid w:val="00B32B13"/>
    <w:rsid w:val="00B32C89"/>
    <w:rsid w:val="00B33347"/>
    <w:rsid w:val="00B3370E"/>
    <w:rsid w:val="00B34082"/>
    <w:rsid w:val="00B35C5D"/>
    <w:rsid w:val="00B37898"/>
    <w:rsid w:val="00B42575"/>
    <w:rsid w:val="00B4282F"/>
    <w:rsid w:val="00B43925"/>
    <w:rsid w:val="00B475C4"/>
    <w:rsid w:val="00B47665"/>
    <w:rsid w:val="00B4786C"/>
    <w:rsid w:val="00B5092C"/>
    <w:rsid w:val="00B50996"/>
    <w:rsid w:val="00B52B5D"/>
    <w:rsid w:val="00B54945"/>
    <w:rsid w:val="00B56449"/>
    <w:rsid w:val="00B56E0F"/>
    <w:rsid w:val="00B60785"/>
    <w:rsid w:val="00B61D69"/>
    <w:rsid w:val="00B62934"/>
    <w:rsid w:val="00B641D6"/>
    <w:rsid w:val="00B64371"/>
    <w:rsid w:val="00B64568"/>
    <w:rsid w:val="00B65E78"/>
    <w:rsid w:val="00B67213"/>
    <w:rsid w:val="00B67A87"/>
    <w:rsid w:val="00B67FC7"/>
    <w:rsid w:val="00B70AA6"/>
    <w:rsid w:val="00B717AE"/>
    <w:rsid w:val="00B718B0"/>
    <w:rsid w:val="00B71E6E"/>
    <w:rsid w:val="00B722D3"/>
    <w:rsid w:val="00B736F9"/>
    <w:rsid w:val="00B73C24"/>
    <w:rsid w:val="00B740C8"/>
    <w:rsid w:val="00B75BED"/>
    <w:rsid w:val="00B75CD8"/>
    <w:rsid w:val="00B76934"/>
    <w:rsid w:val="00B7694C"/>
    <w:rsid w:val="00B7774D"/>
    <w:rsid w:val="00B809F2"/>
    <w:rsid w:val="00B82A3A"/>
    <w:rsid w:val="00B83404"/>
    <w:rsid w:val="00B83882"/>
    <w:rsid w:val="00B83DF7"/>
    <w:rsid w:val="00B852E1"/>
    <w:rsid w:val="00B86BC3"/>
    <w:rsid w:val="00B8767E"/>
    <w:rsid w:val="00B92E0A"/>
    <w:rsid w:val="00B93E35"/>
    <w:rsid w:val="00B95B88"/>
    <w:rsid w:val="00B96EFA"/>
    <w:rsid w:val="00BA04F4"/>
    <w:rsid w:val="00BA341D"/>
    <w:rsid w:val="00BA3EB0"/>
    <w:rsid w:val="00BA69A3"/>
    <w:rsid w:val="00BB1AA6"/>
    <w:rsid w:val="00BB1CA3"/>
    <w:rsid w:val="00BB1F07"/>
    <w:rsid w:val="00BB2508"/>
    <w:rsid w:val="00BB37CB"/>
    <w:rsid w:val="00BB487E"/>
    <w:rsid w:val="00BB4956"/>
    <w:rsid w:val="00BB4BAF"/>
    <w:rsid w:val="00BB6ABD"/>
    <w:rsid w:val="00BB6EDB"/>
    <w:rsid w:val="00BB7DED"/>
    <w:rsid w:val="00BB7F0C"/>
    <w:rsid w:val="00BC18BE"/>
    <w:rsid w:val="00BC2361"/>
    <w:rsid w:val="00BC292B"/>
    <w:rsid w:val="00BC2E85"/>
    <w:rsid w:val="00BC3A07"/>
    <w:rsid w:val="00BC3D65"/>
    <w:rsid w:val="00BC7DB8"/>
    <w:rsid w:val="00BD017C"/>
    <w:rsid w:val="00BD0F17"/>
    <w:rsid w:val="00BD3236"/>
    <w:rsid w:val="00BD346A"/>
    <w:rsid w:val="00BD3D21"/>
    <w:rsid w:val="00BD4121"/>
    <w:rsid w:val="00BE013B"/>
    <w:rsid w:val="00BE1D26"/>
    <w:rsid w:val="00BE2013"/>
    <w:rsid w:val="00BE21AE"/>
    <w:rsid w:val="00BE3138"/>
    <w:rsid w:val="00BE4443"/>
    <w:rsid w:val="00BE602F"/>
    <w:rsid w:val="00BE6126"/>
    <w:rsid w:val="00BE76C5"/>
    <w:rsid w:val="00BF0034"/>
    <w:rsid w:val="00BF00E6"/>
    <w:rsid w:val="00BF0390"/>
    <w:rsid w:val="00BF0958"/>
    <w:rsid w:val="00BF0B8C"/>
    <w:rsid w:val="00BF1004"/>
    <w:rsid w:val="00BF175F"/>
    <w:rsid w:val="00BF4500"/>
    <w:rsid w:val="00BF4C11"/>
    <w:rsid w:val="00BF4E8F"/>
    <w:rsid w:val="00BF5634"/>
    <w:rsid w:val="00BF762F"/>
    <w:rsid w:val="00C00CC3"/>
    <w:rsid w:val="00C0407D"/>
    <w:rsid w:val="00C0446A"/>
    <w:rsid w:val="00C04DE3"/>
    <w:rsid w:val="00C10275"/>
    <w:rsid w:val="00C115FF"/>
    <w:rsid w:val="00C117F8"/>
    <w:rsid w:val="00C11811"/>
    <w:rsid w:val="00C124FC"/>
    <w:rsid w:val="00C13819"/>
    <w:rsid w:val="00C16EBF"/>
    <w:rsid w:val="00C2064A"/>
    <w:rsid w:val="00C20B12"/>
    <w:rsid w:val="00C211F0"/>
    <w:rsid w:val="00C21C88"/>
    <w:rsid w:val="00C22163"/>
    <w:rsid w:val="00C22496"/>
    <w:rsid w:val="00C22528"/>
    <w:rsid w:val="00C22774"/>
    <w:rsid w:val="00C231E2"/>
    <w:rsid w:val="00C25208"/>
    <w:rsid w:val="00C2697D"/>
    <w:rsid w:val="00C311F0"/>
    <w:rsid w:val="00C323B2"/>
    <w:rsid w:val="00C32A43"/>
    <w:rsid w:val="00C32CE0"/>
    <w:rsid w:val="00C40E6C"/>
    <w:rsid w:val="00C4102C"/>
    <w:rsid w:val="00C41059"/>
    <w:rsid w:val="00C4336E"/>
    <w:rsid w:val="00C4428B"/>
    <w:rsid w:val="00C442CB"/>
    <w:rsid w:val="00C44FA3"/>
    <w:rsid w:val="00C45300"/>
    <w:rsid w:val="00C46123"/>
    <w:rsid w:val="00C477BF"/>
    <w:rsid w:val="00C47B55"/>
    <w:rsid w:val="00C50250"/>
    <w:rsid w:val="00C510AD"/>
    <w:rsid w:val="00C51C26"/>
    <w:rsid w:val="00C51E81"/>
    <w:rsid w:val="00C52647"/>
    <w:rsid w:val="00C53FA3"/>
    <w:rsid w:val="00C542AE"/>
    <w:rsid w:val="00C5600A"/>
    <w:rsid w:val="00C56E0C"/>
    <w:rsid w:val="00C57425"/>
    <w:rsid w:val="00C6050B"/>
    <w:rsid w:val="00C611B9"/>
    <w:rsid w:val="00C61C2B"/>
    <w:rsid w:val="00C6216B"/>
    <w:rsid w:val="00C63E16"/>
    <w:rsid w:val="00C63FA2"/>
    <w:rsid w:val="00C64A68"/>
    <w:rsid w:val="00C64D84"/>
    <w:rsid w:val="00C65E47"/>
    <w:rsid w:val="00C66226"/>
    <w:rsid w:val="00C66693"/>
    <w:rsid w:val="00C67179"/>
    <w:rsid w:val="00C67DF8"/>
    <w:rsid w:val="00C67E25"/>
    <w:rsid w:val="00C67EC9"/>
    <w:rsid w:val="00C7143D"/>
    <w:rsid w:val="00C717BC"/>
    <w:rsid w:val="00C7292E"/>
    <w:rsid w:val="00C738EA"/>
    <w:rsid w:val="00C74A34"/>
    <w:rsid w:val="00C750C1"/>
    <w:rsid w:val="00C75278"/>
    <w:rsid w:val="00C757CA"/>
    <w:rsid w:val="00C7644A"/>
    <w:rsid w:val="00C80500"/>
    <w:rsid w:val="00C81C6C"/>
    <w:rsid w:val="00C820BB"/>
    <w:rsid w:val="00C82639"/>
    <w:rsid w:val="00C82C30"/>
    <w:rsid w:val="00C83443"/>
    <w:rsid w:val="00C83CA7"/>
    <w:rsid w:val="00C84453"/>
    <w:rsid w:val="00C862C4"/>
    <w:rsid w:val="00C909BA"/>
    <w:rsid w:val="00C90BAC"/>
    <w:rsid w:val="00C9178E"/>
    <w:rsid w:val="00C917CA"/>
    <w:rsid w:val="00C918F8"/>
    <w:rsid w:val="00C9242E"/>
    <w:rsid w:val="00C95FF1"/>
    <w:rsid w:val="00C97486"/>
    <w:rsid w:val="00C97649"/>
    <w:rsid w:val="00CA0FF1"/>
    <w:rsid w:val="00CA3B52"/>
    <w:rsid w:val="00CA79C2"/>
    <w:rsid w:val="00CA7A4A"/>
    <w:rsid w:val="00CA7FC2"/>
    <w:rsid w:val="00CB1363"/>
    <w:rsid w:val="00CB1C87"/>
    <w:rsid w:val="00CB2536"/>
    <w:rsid w:val="00CB4025"/>
    <w:rsid w:val="00CB426F"/>
    <w:rsid w:val="00CB4A86"/>
    <w:rsid w:val="00CB4EEF"/>
    <w:rsid w:val="00CB50EF"/>
    <w:rsid w:val="00CB5DFC"/>
    <w:rsid w:val="00CB623B"/>
    <w:rsid w:val="00CB6CD5"/>
    <w:rsid w:val="00CB6F92"/>
    <w:rsid w:val="00CB712B"/>
    <w:rsid w:val="00CB7FC0"/>
    <w:rsid w:val="00CC17AA"/>
    <w:rsid w:val="00CC1EC5"/>
    <w:rsid w:val="00CC2819"/>
    <w:rsid w:val="00CC415D"/>
    <w:rsid w:val="00CC4356"/>
    <w:rsid w:val="00CC4B1B"/>
    <w:rsid w:val="00CC4B22"/>
    <w:rsid w:val="00CC500D"/>
    <w:rsid w:val="00CC686E"/>
    <w:rsid w:val="00CC687F"/>
    <w:rsid w:val="00CC7746"/>
    <w:rsid w:val="00CD0723"/>
    <w:rsid w:val="00CD1380"/>
    <w:rsid w:val="00CD251B"/>
    <w:rsid w:val="00CD3ACD"/>
    <w:rsid w:val="00CD45E9"/>
    <w:rsid w:val="00CD4698"/>
    <w:rsid w:val="00CD55BD"/>
    <w:rsid w:val="00CD5654"/>
    <w:rsid w:val="00CD56C7"/>
    <w:rsid w:val="00CD595D"/>
    <w:rsid w:val="00CD62F2"/>
    <w:rsid w:val="00CD684D"/>
    <w:rsid w:val="00CD7F7A"/>
    <w:rsid w:val="00CE08D0"/>
    <w:rsid w:val="00CE0978"/>
    <w:rsid w:val="00CE0F3D"/>
    <w:rsid w:val="00CE10CF"/>
    <w:rsid w:val="00CE1439"/>
    <w:rsid w:val="00CE18D4"/>
    <w:rsid w:val="00CE209E"/>
    <w:rsid w:val="00CE22D8"/>
    <w:rsid w:val="00CE30C4"/>
    <w:rsid w:val="00CE3219"/>
    <w:rsid w:val="00CE34FC"/>
    <w:rsid w:val="00CE4174"/>
    <w:rsid w:val="00CE41AC"/>
    <w:rsid w:val="00CE4C29"/>
    <w:rsid w:val="00CE6413"/>
    <w:rsid w:val="00CE6F43"/>
    <w:rsid w:val="00CF09CC"/>
    <w:rsid w:val="00CF14C4"/>
    <w:rsid w:val="00CF1ADC"/>
    <w:rsid w:val="00CF2959"/>
    <w:rsid w:val="00CF29A7"/>
    <w:rsid w:val="00CF3E85"/>
    <w:rsid w:val="00CF407A"/>
    <w:rsid w:val="00CF4E31"/>
    <w:rsid w:val="00CF610B"/>
    <w:rsid w:val="00CF773A"/>
    <w:rsid w:val="00CF7DF0"/>
    <w:rsid w:val="00D005BD"/>
    <w:rsid w:val="00D0179E"/>
    <w:rsid w:val="00D02691"/>
    <w:rsid w:val="00D03D67"/>
    <w:rsid w:val="00D04562"/>
    <w:rsid w:val="00D045D8"/>
    <w:rsid w:val="00D05BF0"/>
    <w:rsid w:val="00D101E8"/>
    <w:rsid w:val="00D103E2"/>
    <w:rsid w:val="00D1179E"/>
    <w:rsid w:val="00D12CAD"/>
    <w:rsid w:val="00D12CFB"/>
    <w:rsid w:val="00D13CE9"/>
    <w:rsid w:val="00D1483B"/>
    <w:rsid w:val="00D17280"/>
    <w:rsid w:val="00D17755"/>
    <w:rsid w:val="00D178D0"/>
    <w:rsid w:val="00D17B5D"/>
    <w:rsid w:val="00D20778"/>
    <w:rsid w:val="00D22623"/>
    <w:rsid w:val="00D22DB1"/>
    <w:rsid w:val="00D234BA"/>
    <w:rsid w:val="00D2378A"/>
    <w:rsid w:val="00D23EB0"/>
    <w:rsid w:val="00D25F12"/>
    <w:rsid w:val="00D314B4"/>
    <w:rsid w:val="00D324DC"/>
    <w:rsid w:val="00D331C0"/>
    <w:rsid w:val="00D333D5"/>
    <w:rsid w:val="00D3355B"/>
    <w:rsid w:val="00D33587"/>
    <w:rsid w:val="00D336A8"/>
    <w:rsid w:val="00D34A35"/>
    <w:rsid w:val="00D34BC1"/>
    <w:rsid w:val="00D36B9F"/>
    <w:rsid w:val="00D4067A"/>
    <w:rsid w:val="00D41540"/>
    <w:rsid w:val="00D421BE"/>
    <w:rsid w:val="00D427E1"/>
    <w:rsid w:val="00D42940"/>
    <w:rsid w:val="00D43E50"/>
    <w:rsid w:val="00D44BB3"/>
    <w:rsid w:val="00D45261"/>
    <w:rsid w:val="00D528BB"/>
    <w:rsid w:val="00D53404"/>
    <w:rsid w:val="00D537EB"/>
    <w:rsid w:val="00D5563F"/>
    <w:rsid w:val="00D55773"/>
    <w:rsid w:val="00D56921"/>
    <w:rsid w:val="00D56FD9"/>
    <w:rsid w:val="00D57710"/>
    <w:rsid w:val="00D631B5"/>
    <w:rsid w:val="00D64133"/>
    <w:rsid w:val="00D64135"/>
    <w:rsid w:val="00D64E2D"/>
    <w:rsid w:val="00D64F2B"/>
    <w:rsid w:val="00D64FA6"/>
    <w:rsid w:val="00D650DD"/>
    <w:rsid w:val="00D65B50"/>
    <w:rsid w:val="00D6672D"/>
    <w:rsid w:val="00D66DC3"/>
    <w:rsid w:val="00D67283"/>
    <w:rsid w:val="00D67E0C"/>
    <w:rsid w:val="00D70796"/>
    <w:rsid w:val="00D708B1"/>
    <w:rsid w:val="00D716E1"/>
    <w:rsid w:val="00D72A5C"/>
    <w:rsid w:val="00D73012"/>
    <w:rsid w:val="00D74210"/>
    <w:rsid w:val="00D75E24"/>
    <w:rsid w:val="00D7678A"/>
    <w:rsid w:val="00D77194"/>
    <w:rsid w:val="00D77AF2"/>
    <w:rsid w:val="00D77E7A"/>
    <w:rsid w:val="00D81510"/>
    <w:rsid w:val="00D827E6"/>
    <w:rsid w:val="00D83027"/>
    <w:rsid w:val="00D8492E"/>
    <w:rsid w:val="00D849BA"/>
    <w:rsid w:val="00D849FF"/>
    <w:rsid w:val="00D84C89"/>
    <w:rsid w:val="00D84EC4"/>
    <w:rsid w:val="00D85D19"/>
    <w:rsid w:val="00D90B8C"/>
    <w:rsid w:val="00D94560"/>
    <w:rsid w:val="00D94F98"/>
    <w:rsid w:val="00D95A9F"/>
    <w:rsid w:val="00DA164B"/>
    <w:rsid w:val="00DA1A65"/>
    <w:rsid w:val="00DA26F2"/>
    <w:rsid w:val="00DA375F"/>
    <w:rsid w:val="00DA4FFE"/>
    <w:rsid w:val="00DA5477"/>
    <w:rsid w:val="00DA554C"/>
    <w:rsid w:val="00DB1106"/>
    <w:rsid w:val="00DB21AB"/>
    <w:rsid w:val="00DB2308"/>
    <w:rsid w:val="00DB3CE5"/>
    <w:rsid w:val="00DB4593"/>
    <w:rsid w:val="00DB4D25"/>
    <w:rsid w:val="00DB6068"/>
    <w:rsid w:val="00DB65AB"/>
    <w:rsid w:val="00DB76C0"/>
    <w:rsid w:val="00DB7F87"/>
    <w:rsid w:val="00DC0155"/>
    <w:rsid w:val="00DC0F7E"/>
    <w:rsid w:val="00DC13CE"/>
    <w:rsid w:val="00DC1A12"/>
    <w:rsid w:val="00DC238F"/>
    <w:rsid w:val="00DC3817"/>
    <w:rsid w:val="00DC4879"/>
    <w:rsid w:val="00DC57E3"/>
    <w:rsid w:val="00DC6312"/>
    <w:rsid w:val="00DC6DAA"/>
    <w:rsid w:val="00DC71D1"/>
    <w:rsid w:val="00DC72A6"/>
    <w:rsid w:val="00DC7C06"/>
    <w:rsid w:val="00DD034A"/>
    <w:rsid w:val="00DD08F2"/>
    <w:rsid w:val="00DD3570"/>
    <w:rsid w:val="00DD43ED"/>
    <w:rsid w:val="00DD5287"/>
    <w:rsid w:val="00DD6A2F"/>
    <w:rsid w:val="00DD7FD7"/>
    <w:rsid w:val="00DE03F3"/>
    <w:rsid w:val="00DE13F6"/>
    <w:rsid w:val="00DE18DC"/>
    <w:rsid w:val="00DE5706"/>
    <w:rsid w:val="00DE6D37"/>
    <w:rsid w:val="00DF1E05"/>
    <w:rsid w:val="00DF2653"/>
    <w:rsid w:val="00DF2759"/>
    <w:rsid w:val="00DF2AC4"/>
    <w:rsid w:val="00DF400D"/>
    <w:rsid w:val="00DF561D"/>
    <w:rsid w:val="00DF6515"/>
    <w:rsid w:val="00DF6E59"/>
    <w:rsid w:val="00E00F81"/>
    <w:rsid w:val="00E01A83"/>
    <w:rsid w:val="00E0289B"/>
    <w:rsid w:val="00E02C27"/>
    <w:rsid w:val="00E03A08"/>
    <w:rsid w:val="00E041FF"/>
    <w:rsid w:val="00E04216"/>
    <w:rsid w:val="00E04465"/>
    <w:rsid w:val="00E05A03"/>
    <w:rsid w:val="00E05AD2"/>
    <w:rsid w:val="00E05BF7"/>
    <w:rsid w:val="00E0641F"/>
    <w:rsid w:val="00E13B09"/>
    <w:rsid w:val="00E15E26"/>
    <w:rsid w:val="00E16429"/>
    <w:rsid w:val="00E1730F"/>
    <w:rsid w:val="00E179E1"/>
    <w:rsid w:val="00E17B32"/>
    <w:rsid w:val="00E22C38"/>
    <w:rsid w:val="00E23EE8"/>
    <w:rsid w:val="00E24765"/>
    <w:rsid w:val="00E24EAA"/>
    <w:rsid w:val="00E25073"/>
    <w:rsid w:val="00E25204"/>
    <w:rsid w:val="00E256E0"/>
    <w:rsid w:val="00E25887"/>
    <w:rsid w:val="00E300E2"/>
    <w:rsid w:val="00E30855"/>
    <w:rsid w:val="00E30A52"/>
    <w:rsid w:val="00E31A97"/>
    <w:rsid w:val="00E32351"/>
    <w:rsid w:val="00E327EC"/>
    <w:rsid w:val="00E32D45"/>
    <w:rsid w:val="00E3349F"/>
    <w:rsid w:val="00E33EF8"/>
    <w:rsid w:val="00E35564"/>
    <w:rsid w:val="00E358DC"/>
    <w:rsid w:val="00E35BBD"/>
    <w:rsid w:val="00E36071"/>
    <w:rsid w:val="00E3667A"/>
    <w:rsid w:val="00E4161A"/>
    <w:rsid w:val="00E43680"/>
    <w:rsid w:val="00E44360"/>
    <w:rsid w:val="00E454EA"/>
    <w:rsid w:val="00E50611"/>
    <w:rsid w:val="00E5087F"/>
    <w:rsid w:val="00E5227A"/>
    <w:rsid w:val="00E52678"/>
    <w:rsid w:val="00E55089"/>
    <w:rsid w:val="00E55667"/>
    <w:rsid w:val="00E57546"/>
    <w:rsid w:val="00E6006A"/>
    <w:rsid w:val="00E6097A"/>
    <w:rsid w:val="00E617A9"/>
    <w:rsid w:val="00E65831"/>
    <w:rsid w:val="00E66361"/>
    <w:rsid w:val="00E73F1B"/>
    <w:rsid w:val="00E74BA2"/>
    <w:rsid w:val="00E75EA3"/>
    <w:rsid w:val="00E82564"/>
    <w:rsid w:val="00E828DF"/>
    <w:rsid w:val="00E82E94"/>
    <w:rsid w:val="00E85395"/>
    <w:rsid w:val="00E859FD"/>
    <w:rsid w:val="00E904F8"/>
    <w:rsid w:val="00E926FF"/>
    <w:rsid w:val="00E9326B"/>
    <w:rsid w:val="00E941CB"/>
    <w:rsid w:val="00E947C6"/>
    <w:rsid w:val="00E94921"/>
    <w:rsid w:val="00E955D8"/>
    <w:rsid w:val="00E95933"/>
    <w:rsid w:val="00E97350"/>
    <w:rsid w:val="00EA02AC"/>
    <w:rsid w:val="00EA0FDF"/>
    <w:rsid w:val="00EA15E1"/>
    <w:rsid w:val="00EA2991"/>
    <w:rsid w:val="00EA3394"/>
    <w:rsid w:val="00EA4694"/>
    <w:rsid w:val="00EA6DFA"/>
    <w:rsid w:val="00EB04DF"/>
    <w:rsid w:val="00EB098C"/>
    <w:rsid w:val="00EB1BBC"/>
    <w:rsid w:val="00EB1E5E"/>
    <w:rsid w:val="00EB2879"/>
    <w:rsid w:val="00EB3423"/>
    <w:rsid w:val="00EB3A31"/>
    <w:rsid w:val="00EC043C"/>
    <w:rsid w:val="00EC135D"/>
    <w:rsid w:val="00EC226C"/>
    <w:rsid w:val="00EC26E9"/>
    <w:rsid w:val="00EC2AC2"/>
    <w:rsid w:val="00EC2E3A"/>
    <w:rsid w:val="00EC3829"/>
    <w:rsid w:val="00EC3EEE"/>
    <w:rsid w:val="00EC3FB8"/>
    <w:rsid w:val="00EC493B"/>
    <w:rsid w:val="00EC4ADB"/>
    <w:rsid w:val="00EC5819"/>
    <w:rsid w:val="00EC5E85"/>
    <w:rsid w:val="00EC6566"/>
    <w:rsid w:val="00EC6686"/>
    <w:rsid w:val="00EC6E4E"/>
    <w:rsid w:val="00EC752E"/>
    <w:rsid w:val="00EC79AA"/>
    <w:rsid w:val="00EC7FFA"/>
    <w:rsid w:val="00ED0FD9"/>
    <w:rsid w:val="00ED1458"/>
    <w:rsid w:val="00ED2315"/>
    <w:rsid w:val="00ED2682"/>
    <w:rsid w:val="00ED3B72"/>
    <w:rsid w:val="00ED3DA8"/>
    <w:rsid w:val="00ED3EB2"/>
    <w:rsid w:val="00ED3EF8"/>
    <w:rsid w:val="00ED55F7"/>
    <w:rsid w:val="00ED57FC"/>
    <w:rsid w:val="00ED77B4"/>
    <w:rsid w:val="00ED78E3"/>
    <w:rsid w:val="00EE0A65"/>
    <w:rsid w:val="00EE0B79"/>
    <w:rsid w:val="00EE1951"/>
    <w:rsid w:val="00EE2782"/>
    <w:rsid w:val="00EE4B2E"/>
    <w:rsid w:val="00EE551D"/>
    <w:rsid w:val="00EE61D3"/>
    <w:rsid w:val="00EE7594"/>
    <w:rsid w:val="00EE783C"/>
    <w:rsid w:val="00EE7E08"/>
    <w:rsid w:val="00EF040A"/>
    <w:rsid w:val="00EF05AD"/>
    <w:rsid w:val="00EF1556"/>
    <w:rsid w:val="00EF16D2"/>
    <w:rsid w:val="00EF17CE"/>
    <w:rsid w:val="00EF2E36"/>
    <w:rsid w:val="00EF3C4A"/>
    <w:rsid w:val="00EF3C5A"/>
    <w:rsid w:val="00EF5C0A"/>
    <w:rsid w:val="00EF66C1"/>
    <w:rsid w:val="00F00C19"/>
    <w:rsid w:val="00F01BB5"/>
    <w:rsid w:val="00F05B92"/>
    <w:rsid w:val="00F0680F"/>
    <w:rsid w:val="00F07DC1"/>
    <w:rsid w:val="00F1081A"/>
    <w:rsid w:val="00F10930"/>
    <w:rsid w:val="00F12258"/>
    <w:rsid w:val="00F12581"/>
    <w:rsid w:val="00F12E93"/>
    <w:rsid w:val="00F14858"/>
    <w:rsid w:val="00F15A70"/>
    <w:rsid w:val="00F16136"/>
    <w:rsid w:val="00F169FF"/>
    <w:rsid w:val="00F179BA"/>
    <w:rsid w:val="00F20C8B"/>
    <w:rsid w:val="00F25D92"/>
    <w:rsid w:val="00F26292"/>
    <w:rsid w:val="00F27823"/>
    <w:rsid w:val="00F32C72"/>
    <w:rsid w:val="00F33366"/>
    <w:rsid w:val="00F33F65"/>
    <w:rsid w:val="00F340B4"/>
    <w:rsid w:val="00F347B4"/>
    <w:rsid w:val="00F34BCB"/>
    <w:rsid w:val="00F35010"/>
    <w:rsid w:val="00F3517F"/>
    <w:rsid w:val="00F3633B"/>
    <w:rsid w:val="00F36923"/>
    <w:rsid w:val="00F369E3"/>
    <w:rsid w:val="00F37082"/>
    <w:rsid w:val="00F37712"/>
    <w:rsid w:val="00F40027"/>
    <w:rsid w:val="00F405B1"/>
    <w:rsid w:val="00F4154A"/>
    <w:rsid w:val="00F4469E"/>
    <w:rsid w:val="00F44CB2"/>
    <w:rsid w:val="00F452A5"/>
    <w:rsid w:val="00F45326"/>
    <w:rsid w:val="00F45480"/>
    <w:rsid w:val="00F46920"/>
    <w:rsid w:val="00F4732A"/>
    <w:rsid w:val="00F50515"/>
    <w:rsid w:val="00F51454"/>
    <w:rsid w:val="00F51789"/>
    <w:rsid w:val="00F51E7B"/>
    <w:rsid w:val="00F520B4"/>
    <w:rsid w:val="00F53CDF"/>
    <w:rsid w:val="00F546B3"/>
    <w:rsid w:val="00F55B4E"/>
    <w:rsid w:val="00F565AD"/>
    <w:rsid w:val="00F566F5"/>
    <w:rsid w:val="00F56B7A"/>
    <w:rsid w:val="00F577BC"/>
    <w:rsid w:val="00F603E3"/>
    <w:rsid w:val="00F607E2"/>
    <w:rsid w:val="00F60B89"/>
    <w:rsid w:val="00F62152"/>
    <w:rsid w:val="00F62547"/>
    <w:rsid w:val="00F64207"/>
    <w:rsid w:val="00F65331"/>
    <w:rsid w:val="00F65B28"/>
    <w:rsid w:val="00F6754B"/>
    <w:rsid w:val="00F67C50"/>
    <w:rsid w:val="00F702C5"/>
    <w:rsid w:val="00F70347"/>
    <w:rsid w:val="00F708BC"/>
    <w:rsid w:val="00F722C7"/>
    <w:rsid w:val="00F725EB"/>
    <w:rsid w:val="00F72CF3"/>
    <w:rsid w:val="00F746EC"/>
    <w:rsid w:val="00F76ABB"/>
    <w:rsid w:val="00F76FC6"/>
    <w:rsid w:val="00F8038D"/>
    <w:rsid w:val="00F81E7E"/>
    <w:rsid w:val="00F82466"/>
    <w:rsid w:val="00F83D6F"/>
    <w:rsid w:val="00F83FA4"/>
    <w:rsid w:val="00F858BB"/>
    <w:rsid w:val="00F86E31"/>
    <w:rsid w:val="00F91843"/>
    <w:rsid w:val="00F920AD"/>
    <w:rsid w:val="00F92B70"/>
    <w:rsid w:val="00F95043"/>
    <w:rsid w:val="00F95F0C"/>
    <w:rsid w:val="00F979E7"/>
    <w:rsid w:val="00F97F03"/>
    <w:rsid w:val="00FA0969"/>
    <w:rsid w:val="00FA1C06"/>
    <w:rsid w:val="00FA2FB9"/>
    <w:rsid w:val="00FA4730"/>
    <w:rsid w:val="00FA4C9D"/>
    <w:rsid w:val="00FA57C1"/>
    <w:rsid w:val="00FB061D"/>
    <w:rsid w:val="00FB14C6"/>
    <w:rsid w:val="00FB267D"/>
    <w:rsid w:val="00FB2BE7"/>
    <w:rsid w:val="00FB32E5"/>
    <w:rsid w:val="00FB4080"/>
    <w:rsid w:val="00FB46B1"/>
    <w:rsid w:val="00FB4C8B"/>
    <w:rsid w:val="00FB66EF"/>
    <w:rsid w:val="00FC0120"/>
    <w:rsid w:val="00FC1C8F"/>
    <w:rsid w:val="00FC4124"/>
    <w:rsid w:val="00FC4E72"/>
    <w:rsid w:val="00FC5729"/>
    <w:rsid w:val="00FC5DC4"/>
    <w:rsid w:val="00FC6561"/>
    <w:rsid w:val="00FC71BA"/>
    <w:rsid w:val="00FC75DE"/>
    <w:rsid w:val="00FD3FF8"/>
    <w:rsid w:val="00FD494B"/>
    <w:rsid w:val="00FD4A6B"/>
    <w:rsid w:val="00FD557F"/>
    <w:rsid w:val="00FD677D"/>
    <w:rsid w:val="00FD78BF"/>
    <w:rsid w:val="00FE0064"/>
    <w:rsid w:val="00FE0508"/>
    <w:rsid w:val="00FE061B"/>
    <w:rsid w:val="00FE2012"/>
    <w:rsid w:val="00FE2D76"/>
    <w:rsid w:val="00FE3EC0"/>
    <w:rsid w:val="00FE46D7"/>
    <w:rsid w:val="00FE4B00"/>
    <w:rsid w:val="00FF0D7D"/>
    <w:rsid w:val="00FF1072"/>
    <w:rsid w:val="00FF1390"/>
    <w:rsid w:val="00FF2E57"/>
    <w:rsid w:val="00FF3C53"/>
    <w:rsid w:val="00FF5A1B"/>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28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fi-FI"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37"/>
    <w:pPr>
      <w:spacing w:before="120" w:after="120" w:line="360" w:lineRule="auto"/>
    </w:pPr>
    <w:rPr>
      <w:rFonts w:ascii="Times New Roman" w:hAnsi="Times New Roman"/>
      <w:sz w:val="24"/>
    </w:rPr>
  </w:style>
  <w:style w:type="paragraph" w:styleId="Heading1">
    <w:name w:val="heading 1"/>
    <w:basedOn w:val="Normal"/>
    <w:next w:val="Normal"/>
    <w:link w:val="Heading1Char"/>
    <w:uiPriority w:val="9"/>
    <w:qFormat/>
    <w:rsid w:val="006014B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6014B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6014B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14B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14B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4B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14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14B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5"/>
    </w:rPr>
  </w:style>
  <w:style w:type="paragraph" w:styleId="Heading9">
    <w:name w:val="heading 9"/>
    <w:basedOn w:val="Normal"/>
    <w:next w:val="Normal"/>
    <w:link w:val="Heading9Char"/>
    <w:uiPriority w:val="9"/>
    <w:semiHidden/>
    <w:unhideWhenUsed/>
    <w:qFormat/>
    <w:rsid w:val="006014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947092"/>
    <w:pPr>
      <w:spacing w:after="0" w:line="240" w:lineRule="auto"/>
    </w:pPr>
    <w:rPr>
      <w:sz w:val="20"/>
      <w:szCs w:val="25"/>
    </w:rPr>
  </w:style>
  <w:style w:type="character" w:customStyle="1" w:styleId="FootnoteTextChar">
    <w:name w:val="Footnote Text Char"/>
    <w:aliases w:val="Char Char"/>
    <w:basedOn w:val="DefaultParagraphFont"/>
    <w:link w:val="FootnoteText"/>
    <w:rsid w:val="00947092"/>
    <w:rPr>
      <w:sz w:val="20"/>
      <w:szCs w:val="25"/>
    </w:rPr>
  </w:style>
  <w:style w:type="character" w:styleId="FootnoteReference">
    <w:name w:val="footnote reference"/>
    <w:basedOn w:val="DefaultParagraphFont"/>
    <w:uiPriority w:val="99"/>
    <w:unhideWhenUsed/>
    <w:rsid w:val="00947092"/>
    <w:rPr>
      <w:vertAlign w:val="superscript"/>
    </w:rPr>
  </w:style>
  <w:style w:type="character" w:styleId="Hyperlink">
    <w:name w:val="Hyperlink"/>
    <w:basedOn w:val="DefaultParagraphFont"/>
    <w:uiPriority w:val="99"/>
    <w:unhideWhenUsed/>
    <w:rsid w:val="00947092"/>
    <w:rPr>
      <w:color w:val="0000FF" w:themeColor="hyperlink"/>
      <w:u w:val="single"/>
    </w:rPr>
  </w:style>
  <w:style w:type="paragraph" w:customStyle="1" w:styleId="Footnote">
    <w:name w:val="Footnote"/>
    <w:basedOn w:val="Normal"/>
    <w:qFormat/>
    <w:rsid w:val="002D4FE8"/>
    <w:pPr>
      <w:autoSpaceDE w:val="0"/>
      <w:autoSpaceDN w:val="0"/>
      <w:adjustRightInd w:val="0"/>
      <w:spacing w:before="0" w:after="0" w:line="240" w:lineRule="auto"/>
    </w:pPr>
    <w:rPr>
      <w:rFonts w:ascii="TimesNewRoman" w:hAnsi="TimesNewRoman" w:cs="TimesNewRoman"/>
      <w:color w:val="000000"/>
      <w:sz w:val="20"/>
      <w:szCs w:val="22"/>
      <w:lang w:val="en-GB"/>
    </w:rPr>
  </w:style>
  <w:style w:type="paragraph" w:styleId="Title">
    <w:name w:val="Title"/>
    <w:basedOn w:val="Normal"/>
    <w:next w:val="Normal"/>
    <w:link w:val="TitleChar"/>
    <w:uiPriority w:val="10"/>
    <w:qFormat/>
    <w:rsid w:val="00114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114DA1"/>
    <w:rPr>
      <w:rFonts w:asciiTheme="majorHAnsi" w:eastAsiaTheme="majorEastAsia" w:hAnsiTheme="majorHAnsi" w:cstheme="majorBidi"/>
      <w:color w:val="17365D" w:themeColor="text2" w:themeShade="BF"/>
      <w:spacing w:val="5"/>
      <w:kern w:val="28"/>
      <w:sz w:val="52"/>
      <w:szCs w:val="66"/>
    </w:rPr>
  </w:style>
  <w:style w:type="paragraph" w:styleId="Header">
    <w:name w:val="header"/>
    <w:basedOn w:val="Normal"/>
    <w:link w:val="HeaderChar"/>
    <w:uiPriority w:val="99"/>
    <w:semiHidden/>
    <w:unhideWhenUsed/>
    <w:rsid w:val="004A6E20"/>
    <w:pPr>
      <w:tabs>
        <w:tab w:val="center" w:pos="4153"/>
        <w:tab w:val="right" w:pos="8306"/>
      </w:tabs>
      <w:spacing w:before="0" w:after="0" w:line="240" w:lineRule="auto"/>
    </w:pPr>
  </w:style>
  <w:style w:type="character" w:customStyle="1" w:styleId="HeaderChar">
    <w:name w:val="Header Char"/>
    <w:basedOn w:val="DefaultParagraphFont"/>
    <w:link w:val="Header"/>
    <w:uiPriority w:val="99"/>
    <w:semiHidden/>
    <w:rsid w:val="004A6E20"/>
    <w:rPr>
      <w:rFonts w:ascii="Times New Roman" w:hAnsi="Times New Roman"/>
      <w:sz w:val="24"/>
    </w:rPr>
  </w:style>
  <w:style w:type="paragraph" w:styleId="Footer">
    <w:name w:val="footer"/>
    <w:basedOn w:val="Normal"/>
    <w:link w:val="FooterChar"/>
    <w:uiPriority w:val="99"/>
    <w:semiHidden/>
    <w:unhideWhenUsed/>
    <w:rsid w:val="004A6E20"/>
    <w:pPr>
      <w:tabs>
        <w:tab w:val="center" w:pos="4153"/>
        <w:tab w:val="right" w:pos="8306"/>
      </w:tabs>
      <w:spacing w:before="0" w:after="0" w:line="240" w:lineRule="auto"/>
    </w:pPr>
  </w:style>
  <w:style w:type="character" w:customStyle="1" w:styleId="FooterChar">
    <w:name w:val="Footer Char"/>
    <w:basedOn w:val="DefaultParagraphFont"/>
    <w:link w:val="Footer"/>
    <w:uiPriority w:val="99"/>
    <w:semiHidden/>
    <w:rsid w:val="004A6E20"/>
    <w:rPr>
      <w:rFonts w:ascii="Times New Roman" w:hAnsi="Times New Roman"/>
      <w:sz w:val="24"/>
    </w:rPr>
  </w:style>
  <w:style w:type="paragraph" w:customStyle="1" w:styleId="footnote0">
    <w:name w:val="footnote"/>
    <w:basedOn w:val="Normal"/>
    <w:rsid w:val="002D4FE8"/>
    <w:pPr>
      <w:spacing w:before="0" w:after="0" w:line="240" w:lineRule="auto"/>
    </w:pPr>
    <w:rPr>
      <w:color w:val="000000" w:themeColor="text1"/>
      <w:sz w:val="20"/>
      <w:lang w:val="en-GB"/>
    </w:rPr>
  </w:style>
  <w:style w:type="character" w:customStyle="1" w:styleId="Heading1Char">
    <w:name w:val="Heading 1 Char"/>
    <w:basedOn w:val="DefaultParagraphFont"/>
    <w:link w:val="Heading1"/>
    <w:uiPriority w:val="9"/>
    <w:rsid w:val="006014B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6014B7"/>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6014B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6014B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014B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0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014B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014B7"/>
    <w:rPr>
      <w:rFonts w:asciiTheme="majorHAnsi" w:eastAsiaTheme="majorEastAsia" w:hAnsiTheme="majorHAnsi" w:cstheme="majorBidi"/>
      <w:color w:val="404040" w:themeColor="text1" w:themeTint="BF"/>
      <w:sz w:val="20"/>
      <w:szCs w:val="25"/>
    </w:rPr>
  </w:style>
  <w:style w:type="character" w:customStyle="1" w:styleId="Heading9Char">
    <w:name w:val="Heading 9 Char"/>
    <w:basedOn w:val="DefaultParagraphFont"/>
    <w:link w:val="Heading9"/>
    <w:uiPriority w:val="9"/>
    <w:semiHidden/>
    <w:rsid w:val="006014B7"/>
    <w:rPr>
      <w:rFonts w:asciiTheme="majorHAnsi" w:eastAsiaTheme="majorEastAsia" w:hAnsiTheme="majorHAnsi" w:cstheme="majorBidi"/>
      <w:i/>
      <w:iCs/>
      <w:color w:val="404040" w:themeColor="text1" w:themeTint="BF"/>
      <w:sz w:val="20"/>
      <w:szCs w:val="25"/>
    </w:rPr>
  </w:style>
  <w:style w:type="character" w:styleId="Emphasis">
    <w:name w:val="Emphasis"/>
    <w:basedOn w:val="DefaultParagraphFont"/>
    <w:uiPriority w:val="20"/>
    <w:qFormat/>
    <w:rsid w:val="006555D7"/>
    <w:rPr>
      <w:i/>
      <w:iCs/>
    </w:rPr>
  </w:style>
  <w:style w:type="character" w:styleId="Strong">
    <w:name w:val="Strong"/>
    <w:basedOn w:val="DefaultParagraphFont"/>
    <w:uiPriority w:val="22"/>
    <w:qFormat/>
    <w:rsid w:val="006555D7"/>
    <w:rPr>
      <w:b/>
      <w:bCs/>
    </w:rPr>
  </w:style>
  <w:style w:type="character" w:styleId="FollowedHyperlink">
    <w:name w:val="FollowedHyperlink"/>
    <w:basedOn w:val="DefaultParagraphFont"/>
    <w:uiPriority w:val="99"/>
    <w:semiHidden/>
    <w:unhideWhenUsed/>
    <w:rsid w:val="0053467F"/>
    <w:rPr>
      <w:color w:val="800080" w:themeColor="followedHyperlink"/>
      <w:u w:val="single"/>
    </w:rPr>
  </w:style>
  <w:style w:type="character" w:customStyle="1" w:styleId="apple-style-span">
    <w:name w:val="apple-style-span"/>
    <w:basedOn w:val="DefaultParagraphFont"/>
    <w:rsid w:val="00672787"/>
  </w:style>
  <w:style w:type="character" w:customStyle="1" w:styleId="apple-converted-space">
    <w:name w:val="apple-converted-space"/>
    <w:basedOn w:val="DefaultParagraphFont"/>
    <w:rsid w:val="00672787"/>
  </w:style>
  <w:style w:type="paragraph" w:styleId="NormalWeb">
    <w:name w:val="Normal (Web)"/>
    <w:basedOn w:val="Normal"/>
    <w:uiPriority w:val="99"/>
    <w:unhideWhenUsed/>
    <w:rsid w:val="00496A2F"/>
    <w:pPr>
      <w:spacing w:before="100" w:beforeAutospacing="1" w:after="100" w:afterAutospacing="1" w:line="240" w:lineRule="auto"/>
    </w:pPr>
    <w:rPr>
      <w:rFonts w:eastAsia="Times New Roman" w:cs="Times New Roman"/>
      <w:szCs w:val="24"/>
      <w:lang w:val="en-GB" w:bidi="ar-SA"/>
    </w:rPr>
  </w:style>
  <w:style w:type="character" w:customStyle="1" w:styleId="noteref">
    <w:name w:val="noteref"/>
    <w:basedOn w:val="DefaultParagraphFont"/>
    <w:rsid w:val="00557D5C"/>
  </w:style>
  <w:style w:type="paragraph" w:customStyle="1" w:styleId="paragraph">
    <w:name w:val="paragraph"/>
    <w:basedOn w:val="Normal"/>
    <w:rsid w:val="004C03C3"/>
    <w:pPr>
      <w:spacing w:before="100" w:beforeAutospacing="1" w:after="100" w:afterAutospacing="1" w:line="240" w:lineRule="auto"/>
    </w:pPr>
    <w:rPr>
      <w:rFonts w:eastAsia="Times New Roman" w:cs="Times New Roman"/>
      <w:szCs w:val="24"/>
      <w:lang w:val="en-GB" w:bidi="ar-SA"/>
    </w:rPr>
  </w:style>
  <w:style w:type="character" w:customStyle="1" w:styleId="paragraphmarker">
    <w:name w:val="paragraphmarker"/>
    <w:basedOn w:val="DefaultParagraphFont"/>
    <w:rsid w:val="004C03C3"/>
  </w:style>
  <w:style w:type="paragraph" w:customStyle="1" w:styleId="a3520normal">
    <w:name w:val="a___35__20_normal"/>
    <w:basedOn w:val="Normal"/>
    <w:rsid w:val="00F01BB5"/>
    <w:pPr>
      <w:spacing w:before="100" w:beforeAutospacing="1" w:after="100" w:afterAutospacing="1" w:line="240" w:lineRule="auto"/>
    </w:pPr>
    <w:rPr>
      <w:rFonts w:eastAsia="Times New Roman" w:cs="Times New Roman"/>
      <w:szCs w:val="24"/>
      <w:lang w:val="en-GB" w:bidi="ar-SA"/>
    </w:rPr>
  </w:style>
  <w:style w:type="paragraph" w:customStyle="1" w:styleId="c01pointnumerotealtn">
    <w:name w:val="c01pointnumerotealtn"/>
    <w:basedOn w:val="Normal"/>
    <w:rsid w:val="00362CE9"/>
    <w:pPr>
      <w:spacing w:before="100" w:beforeAutospacing="1" w:after="240" w:line="240" w:lineRule="auto"/>
      <w:ind w:left="567" w:hanging="539"/>
      <w:jc w:val="both"/>
    </w:pPr>
    <w:rPr>
      <w:rFonts w:eastAsia="Times New Roman" w:cs="Times New Roman"/>
      <w:szCs w:val="24"/>
      <w:lang w:bidi="ar-SA"/>
    </w:rPr>
  </w:style>
  <w:style w:type="paragraph" w:customStyle="1" w:styleId="c03tiretlong">
    <w:name w:val="c03tiretlong"/>
    <w:basedOn w:val="Normal"/>
    <w:rsid w:val="00362CE9"/>
    <w:pPr>
      <w:spacing w:before="100" w:beforeAutospacing="1" w:after="240" w:line="240" w:lineRule="auto"/>
      <w:ind w:left="1134" w:hanging="567"/>
      <w:jc w:val="both"/>
    </w:pPr>
    <w:rPr>
      <w:rFonts w:eastAsia="Times New Roman" w:cs="Times New Roman"/>
      <w:szCs w:val="24"/>
      <w:lang w:bidi="ar-SA"/>
    </w:rPr>
  </w:style>
  <w:style w:type="paragraph" w:customStyle="1" w:styleId="spip">
    <w:name w:val="spip"/>
    <w:basedOn w:val="Normal"/>
    <w:rsid w:val="00E97350"/>
    <w:pPr>
      <w:spacing w:before="100" w:beforeAutospacing="1" w:after="100" w:afterAutospacing="1" w:line="240" w:lineRule="auto"/>
    </w:pPr>
    <w:rPr>
      <w:rFonts w:eastAsia="Times New Roman" w:cs="Times New Roman"/>
      <w:szCs w:val="24"/>
      <w:lang w:eastAsia="fi-FI" w:bidi="ar-SA"/>
    </w:rPr>
  </w:style>
  <w:style w:type="character" w:customStyle="1" w:styleId="documentbody1">
    <w:name w:val="documentbody1"/>
    <w:basedOn w:val="DefaultParagraphFont"/>
    <w:rsid w:val="00C82639"/>
    <w:rPr>
      <w:rFonts w:ascii="Verdana" w:hAnsi="Verdana" w:hint="default"/>
      <w:sz w:val="19"/>
      <w:szCs w:val="19"/>
    </w:rPr>
  </w:style>
  <w:style w:type="character" w:customStyle="1" w:styleId="at4">
    <w:name w:val="a__t4"/>
    <w:basedOn w:val="DefaultParagraphFont"/>
    <w:rsid w:val="003965A6"/>
  </w:style>
  <w:style w:type="paragraph" w:styleId="ListParagraph">
    <w:name w:val="List Paragraph"/>
    <w:basedOn w:val="Normal"/>
    <w:uiPriority w:val="34"/>
    <w:qFormat/>
    <w:rsid w:val="00616BA1"/>
    <w:pPr>
      <w:ind w:left="720"/>
      <w:contextualSpacing/>
    </w:pPr>
    <w:rPr>
      <w:rFonts w:cs="Angsana New"/>
    </w:rPr>
  </w:style>
  <w:style w:type="paragraph" w:customStyle="1" w:styleId="o-bodytext0">
    <w:name w:val="o-bodytext0"/>
    <w:basedOn w:val="Normal"/>
    <w:rsid w:val="005331D3"/>
    <w:pPr>
      <w:spacing w:before="100" w:beforeAutospacing="1" w:after="100" w:afterAutospacing="1" w:line="240" w:lineRule="auto"/>
    </w:pPr>
    <w:rPr>
      <w:rFonts w:eastAsia="Times New Roman" w:cs="Times New Roman"/>
      <w:szCs w:val="24"/>
      <w:lang w:val="en-GB" w:eastAsia="en-GB" w:bidi="ar-SA"/>
    </w:rPr>
  </w:style>
  <w:style w:type="paragraph" w:customStyle="1" w:styleId="Default">
    <w:name w:val="Default"/>
    <w:rsid w:val="00D708B1"/>
    <w:pPr>
      <w:autoSpaceDE w:val="0"/>
      <w:autoSpaceDN w:val="0"/>
      <w:adjustRightInd w:val="0"/>
      <w:spacing w:after="0" w:line="240" w:lineRule="auto"/>
    </w:pPr>
    <w:rPr>
      <w:rFonts w:ascii="Times New Roman" w:hAnsi="Times New Roman" w:cs="Times New Roman"/>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88">
      <w:bodyDiv w:val="1"/>
      <w:marLeft w:val="0"/>
      <w:marRight w:val="0"/>
      <w:marTop w:val="0"/>
      <w:marBottom w:val="0"/>
      <w:divBdr>
        <w:top w:val="none" w:sz="0" w:space="0" w:color="auto"/>
        <w:left w:val="none" w:sz="0" w:space="0" w:color="auto"/>
        <w:bottom w:val="none" w:sz="0" w:space="0" w:color="auto"/>
        <w:right w:val="none" w:sz="0" w:space="0" w:color="auto"/>
      </w:divBdr>
    </w:div>
    <w:div w:id="99767527">
      <w:bodyDiv w:val="1"/>
      <w:marLeft w:val="0"/>
      <w:marRight w:val="0"/>
      <w:marTop w:val="0"/>
      <w:marBottom w:val="0"/>
      <w:divBdr>
        <w:top w:val="none" w:sz="0" w:space="0" w:color="auto"/>
        <w:left w:val="none" w:sz="0" w:space="0" w:color="auto"/>
        <w:bottom w:val="none" w:sz="0" w:space="0" w:color="auto"/>
        <w:right w:val="none" w:sz="0" w:space="0" w:color="auto"/>
      </w:divBdr>
    </w:div>
    <w:div w:id="126902132">
      <w:bodyDiv w:val="1"/>
      <w:marLeft w:val="0"/>
      <w:marRight w:val="0"/>
      <w:marTop w:val="0"/>
      <w:marBottom w:val="0"/>
      <w:divBdr>
        <w:top w:val="none" w:sz="0" w:space="0" w:color="auto"/>
        <w:left w:val="none" w:sz="0" w:space="0" w:color="auto"/>
        <w:bottom w:val="none" w:sz="0" w:space="0" w:color="auto"/>
        <w:right w:val="none" w:sz="0" w:space="0" w:color="auto"/>
      </w:divBdr>
    </w:div>
    <w:div w:id="137310912">
      <w:bodyDiv w:val="1"/>
      <w:marLeft w:val="0"/>
      <w:marRight w:val="0"/>
      <w:marTop w:val="0"/>
      <w:marBottom w:val="0"/>
      <w:divBdr>
        <w:top w:val="none" w:sz="0" w:space="0" w:color="auto"/>
        <w:left w:val="none" w:sz="0" w:space="0" w:color="auto"/>
        <w:bottom w:val="none" w:sz="0" w:space="0" w:color="auto"/>
        <w:right w:val="none" w:sz="0" w:space="0" w:color="auto"/>
      </w:divBdr>
      <w:divsChild>
        <w:div w:id="227690358">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48908795">
      <w:bodyDiv w:val="1"/>
      <w:marLeft w:val="0"/>
      <w:marRight w:val="0"/>
      <w:marTop w:val="0"/>
      <w:marBottom w:val="0"/>
      <w:divBdr>
        <w:top w:val="none" w:sz="0" w:space="0" w:color="auto"/>
        <w:left w:val="none" w:sz="0" w:space="0" w:color="auto"/>
        <w:bottom w:val="none" w:sz="0" w:space="0" w:color="auto"/>
        <w:right w:val="none" w:sz="0" w:space="0" w:color="auto"/>
      </w:divBdr>
    </w:div>
    <w:div w:id="167451343">
      <w:bodyDiv w:val="1"/>
      <w:marLeft w:val="0"/>
      <w:marRight w:val="0"/>
      <w:marTop w:val="0"/>
      <w:marBottom w:val="0"/>
      <w:divBdr>
        <w:top w:val="none" w:sz="0" w:space="0" w:color="auto"/>
        <w:left w:val="none" w:sz="0" w:space="0" w:color="auto"/>
        <w:bottom w:val="none" w:sz="0" w:space="0" w:color="auto"/>
        <w:right w:val="none" w:sz="0" w:space="0" w:color="auto"/>
      </w:divBdr>
    </w:div>
    <w:div w:id="198785456">
      <w:bodyDiv w:val="1"/>
      <w:marLeft w:val="0"/>
      <w:marRight w:val="0"/>
      <w:marTop w:val="0"/>
      <w:marBottom w:val="0"/>
      <w:divBdr>
        <w:top w:val="none" w:sz="0" w:space="0" w:color="auto"/>
        <w:left w:val="none" w:sz="0" w:space="0" w:color="auto"/>
        <w:bottom w:val="none" w:sz="0" w:space="0" w:color="auto"/>
        <w:right w:val="none" w:sz="0" w:space="0" w:color="auto"/>
      </w:divBdr>
      <w:divsChild>
        <w:div w:id="1019161977">
          <w:marLeft w:val="0"/>
          <w:marRight w:val="0"/>
          <w:marTop w:val="0"/>
          <w:marBottom w:val="0"/>
          <w:divBdr>
            <w:top w:val="none" w:sz="0" w:space="0" w:color="auto"/>
            <w:left w:val="none" w:sz="0" w:space="0" w:color="auto"/>
            <w:bottom w:val="none" w:sz="0" w:space="0" w:color="auto"/>
            <w:right w:val="none" w:sz="0" w:space="0" w:color="auto"/>
          </w:divBdr>
          <w:divsChild>
            <w:div w:id="1023704735">
              <w:marLeft w:val="0"/>
              <w:marRight w:val="0"/>
              <w:marTop w:val="0"/>
              <w:marBottom w:val="0"/>
              <w:divBdr>
                <w:top w:val="none" w:sz="0" w:space="0" w:color="auto"/>
                <w:left w:val="none" w:sz="0" w:space="0" w:color="auto"/>
                <w:bottom w:val="none" w:sz="0" w:space="0" w:color="auto"/>
                <w:right w:val="none" w:sz="0" w:space="0" w:color="auto"/>
              </w:divBdr>
              <w:divsChild>
                <w:div w:id="626353567">
                  <w:marLeft w:val="0"/>
                  <w:marRight w:val="0"/>
                  <w:marTop w:val="0"/>
                  <w:marBottom w:val="0"/>
                  <w:divBdr>
                    <w:top w:val="none" w:sz="0" w:space="0" w:color="auto"/>
                    <w:left w:val="none" w:sz="0" w:space="0" w:color="auto"/>
                    <w:bottom w:val="none" w:sz="0" w:space="0" w:color="auto"/>
                    <w:right w:val="none" w:sz="0" w:space="0" w:color="auto"/>
                  </w:divBdr>
                  <w:divsChild>
                    <w:div w:id="12929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2757">
      <w:bodyDiv w:val="1"/>
      <w:marLeft w:val="0"/>
      <w:marRight w:val="0"/>
      <w:marTop w:val="0"/>
      <w:marBottom w:val="0"/>
      <w:divBdr>
        <w:top w:val="none" w:sz="0" w:space="0" w:color="auto"/>
        <w:left w:val="none" w:sz="0" w:space="0" w:color="auto"/>
        <w:bottom w:val="none" w:sz="0" w:space="0" w:color="auto"/>
        <w:right w:val="none" w:sz="0" w:space="0" w:color="auto"/>
      </w:divBdr>
      <w:divsChild>
        <w:div w:id="1295523499">
          <w:marLeft w:val="543"/>
          <w:marRight w:val="543"/>
          <w:marTop w:val="0"/>
          <w:marBottom w:val="0"/>
          <w:divBdr>
            <w:top w:val="single" w:sz="6" w:space="0" w:color="112449"/>
            <w:left w:val="single" w:sz="6" w:space="0" w:color="112449"/>
            <w:bottom w:val="single" w:sz="6" w:space="0" w:color="112449"/>
            <w:right w:val="single" w:sz="6" w:space="0" w:color="112449"/>
          </w:divBdr>
        </w:div>
      </w:divsChild>
    </w:div>
    <w:div w:id="256400794">
      <w:bodyDiv w:val="1"/>
      <w:marLeft w:val="0"/>
      <w:marRight w:val="0"/>
      <w:marTop w:val="0"/>
      <w:marBottom w:val="0"/>
      <w:divBdr>
        <w:top w:val="none" w:sz="0" w:space="0" w:color="auto"/>
        <w:left w:val="none" w:sz="0" w:space="0" w:color="auto"/>
        <w:bottom w:val="none" w:sz="0" w:space="0" w:color="auto"/>
        <w:right w:val="none" w:sz="0" w:space="0" w:color="auto"/>
      </w:divBdr>
    </w:div>
    <w:div w:id="302732377">
      <w:bodyDiv w:val="1"/>
      <w:marLeft w:val="0"/>
      <w:marRight w:val="0"/>
      <w:marTop w:val="0"/>
      <w:marBottom w:val="0"/>
      <w:divBdr>
        <w:top w:val="none" w:sz="0" w:space="0" w:color="auto"/>
        <w:left w:val="none" w:sz="0" w:space="0" w:color="auto"/>
        <w:bottom w:val="none" w:sz="0" w:space="0" w:color="auto"/>
        <w:right w:val="none" w:sz="0" w:space="0" w:color="auto"/>
      </w:divBdr>
      <w:divsChild>
        <w:div w:id="180703549">
          <w:marLeft w:val="720"/>
          <w:marRight w:val="0"/>
          <w:marTop w:val="96"/>
          <w:marBottom w:val="0"/>
          <w:divBdr>
            <w:top w:val="none" w:sz="0" w:space="0" w:color="auto"/>
            <w:left w:val="none" w:sz="0" w:space="0" w:color="auto"/>
            <w:bottom w:val="none" w:sz="0" w:space="0" w:color="auto"/>
            <w:right w:val="none" w:sz="0" w:space="0" w:color="auto"/>
          </w:divBdr>
        </w:div>
        <w:div w:id="1112357526">
          <w:marLeft w:val="720"/>
          <w:marRight w:val="0"/>
          <w:marTop w:val="96"/>
          <w:marBottom w:val="0"/>
          <w:divBdr>
            <w:top w:val="none" w:sz="0" w:space="0" w:color="auto"/>
            <w:left w:val="none" w:sz="0" w:space="0" w:color="auto"/>
            <w:bottom w:val="none" w:sz="0" w:space="0" w:color="auto"/>
            <w:right w:val="none" w:sz="0" w:space="0" w:color="auto"/>
          </w:divBdr>
        </w:div>
        <w:div w:id="659701705">
          <w:marLeft w:val="720"/>
          <w:marRight w:val="0"/>
          <w:marTop w:val="96"/>
          <w:marBottom w:val="0"/>
          <w:divBdr>
            <w:top w:val="none" w:sz="0" w:space="0" w:color="auto"/>
            <w:left w:val="none" w:sz="0" w:space="0" w:color="auto"/>
            <w:bottom w:val="none" w:sz="0" w:space="0" w:color="auto"/>
            <w:right w:val="none" w:sz="0" w:space="0" w:color="auto"/>
          </w:divBdr>
        </w:div>
      </w:divsChild>
    </w:div>
    <w:div w:id="312148919">
      <w:bodyDiv w:val="1"/>
      <w:marLeft w:val="0"/>
      <w:marRight w:val="0"/>
      <w:marTop w:val="0"/>
      <w:marBottom w:val="0"/>
      <w:divBdr>
        <w:top w:val="none" w:sz="0" w:space="0" w:color="auto"/>
        <w:left w:val="none" w:sz="0" w:space="0" w:color="auto"/>
        <w:bottom w:val="none" w:sz="0" w:space="0" w:color="auto"/>
        <w:right w:val="none" w:sz="0" w:space="0" w:color="auto"/>
      </w:divBdr>
    </w:div>
    <w:div w:id="361639803">
      <w:bodyDiv w:val="1"/>
      <w:marLeft w:val="0"/>
      <w:marRight w:val="0"/>
      <w:marTop w:val="0"/>
      <w:marBottom w:val="0"/>
      <w:divBdr>
        <w:top w:val="none" w:sz="0" w:space="0" w:color="auto"/>
        <w:left w:val="none" w:sz="0" w:space="0" w:color="auto"/>
        <w:bottom w:val="none" w:sz="0" w:space="0" w:color="auto"/>
        <w:right w:val="none" w:sz="0" w:space="0" w:color="auto"/>
      </w:divBdr>
    </w:div>
    <w:div w:id="380401780">
      <w:bodyDiv w:val="1"/>
      <w:marLeft w:val="0"/>
      <w:marRight w:val="0"/>
      <w:marTop w:val="0"/>
      <w:marBottom w:val="0"/>
      <w:divBdr>
        <w:top w:val="none" w:sz="0" w:space="0" w:color="auto"/>
        <w:left w:val="none" w:sz="0" w:space="0" w:color="auto"/>
        <w:bottom w:val="none" w:sz="0" w:space="0" w:color="auto"/>
        <w:right w:val="none" w:sz="0" w:space="0" w:color="auto"/>
      </w:divBdr>
    </w:div>
    <w:div w:id="383219693">
      <w:bodyDiv w:val="1"/>
      <w:marLeft w:val="0"/>
      <w:marRight w:val="0"/>
      <w:marTop w:val="0"/>
      <w:marBottom w:val="0"/>
      <w:divBdr>
        <w:top w:val="none" w:sz="0" w:space="0" w:color="auto"/>
        <w:left w:val="none" w:sz="0" w:space="0" w:color="auto"/>
        <w:bottom w:val="none" w:sz="0" w:space="0" w:color="auto"/>
        <w:right w:val="none" w:sz="0" w:space="0" w:color="auto"/>
      </w:divBdr>
      <w:divsChild>
        <w:div w:id="226888151">
          <w:marLeft w:val="0"/>
          <w:marRight w:val="0"/>
          <w:marTop w:val="180"/>
          <w:marBottom w:val="120"/>
          <w:divBdr>
            <w:top w:val="none" w:sz="0" w:space="0" w:color="auto"/>
            <w:left w:val="none" w:sz="0" w:space="0" w:color="auto"/>
            <w:bottom w:val="none" w:sz="0" w:space="0" w:color="auto"/>
            <w:right w:val="none" w:sz="0" w:space="0" w:color="auto"/>
          </w:divBdr>
        </w:div>
      </w:divsChild>
    </w:div>
    <w:div w:id="482963834">
      <w:bodyDiv w:val="1"/>
      <w:marLeft w:val="0"/>
      <w:marRight w:val="0"/>
      <w:marTop w:val="0"/>
      <w:marBottom w:val="0"/>
      <w:divBdr>
        <w:top w:val="none" w:sz="0" w:space="0" w:color="auto"/>
        <w:left w:val="none" w:sz="0" w:space="0" w:color="auto"/>
        <w:bottom w:val="none" w:sz="0" w:space="0" w:color="auto"/>
        <w:right w:val="none" w:sz="0" w:space="0" w:color="auto"/>
      </w:divBdr>
    </w:div>
    <w:div w:id="490485315">
      <w:bodyDiv w:val="1"/>
      <w:marLeft w:val="0"/>
      <w:marRight w:val="0"/>
      <w:marTop w:val="0"/>
      <w:marBottom w:val="0"/>
      <w:divBdr>
        <w:top w:val="none" w:sz="0" w:space="0" w:color="auto"/>
        <w:left w:val="none" w:sz="0" w:space="0" w:color="auto"/>
        <w:bottom w:val="none" w:sz="0" w:space="0" w:color="auto"/>
        <w:right w:val="none" w:sz="0" w:space="0" w:color="auto"/>
      </w:divBdr>
      <w:divsChild>
        <w:div w:id="1206479470">
          <w:marLeft w:val="360"/>
          <w:marRight w:val="0"/>
          <w:marTop w:val="342"/>
          <w:marBottom w:val="0"/>
          <w:divBdr>
            <w:top w:val="none" w:sz="0" w:space="0" w:color="auto"/>
            <w:left w:val="none" w:sz="0" w:space="0" w:color="auto"/>
            <w:bottom w:val="none" w:sz="0" w:space="0" w:color="auto"/>
            <w:right w:val="none" w:sz="0" w:space="0" w:color="auto"/>
          </w:divBdr>
        </w:div>
        <w:div w:id="321741481">
          <w:marLeft w:val="720"/>
          <w:marRight w:val="0"/>
          <w:marTop w:val="96"/>
          <w:marBottom w:val="0"/>
          <w:divBdr>
            <w:top w:val="none" w:sz="0" w:space="0" w:color="auto"/>
            <w:left w:val="none" w:sz="0" w:space="0" w:color="auto"/>
            <w:bottom w:val="none" w:sz="0" w:space="0" w:color="auto"/>
            <w:right w:val="none" w:sz="0" w:space="0" w:color="auto"/>
          </w:divBdr>
        </w:div>
        <w:div w:id="597560156">
          <w:marLeft w:val="720"/>
          <w:marRight w:val="0"/>
          <w:marTop w:val="96"/>
          <w:marBottom w:val="0"/>
          <w:divBdr>
            <w:top w:val="none" w:sz="0" w:space="0" w:color="auto"/>
            <w:left w:val="none" w:sz="0" w:space="0" w:color="auto"/>
            <w:bottom w:val="none" w:sz="0" w:space="0" w:color="auto"/>
            <w:right w:val="none" w:sz="0" w:space="0" w:color="auto"/>
          </w:divBdr>
        </w:div>
        <w:div w:id="1542471338">
          <w:marLeft w:val="1080"/>
          <w:marRight w:val="0"/>
          <w:marTop w:val="50"/>
          <w:marBottom w:val="0"/>
          <w:divBdr>
            <w:top w:val="none" w:sz="0" w:space="0" w:color="auto"/>
            <w:left w:val="none" w:sz="0" w:space="0" w:color="auto"/>
            <w:bottom w:val="none" w:sz="0" w:space="0" w:color="auto"/>
            <w:right w:val="none" w:sz="0" w:space="0" w:color="auto"/>
          </w:divBdr>
        </w:div>
        <w:div w:id="600332925">
          <w:marLeft w:val="1080"/>
          <w:marRight w:val="0"/>
          <w:marTop w:val="50"/>
          <w:marBottom w:val="0"/>
          <w:divBdr>
            <w:top w:val="none" w:sz="0" w:space="0" w:color="auto"/>
            <w:left w:val="none" w:sz="0" w:space="0" w:color="auto"/>
            <w:bottom w:val="none" w:sz="0" w:space="0" w:color="auto"/>
            <w:right w:val="none" w:sz="0" w:space="0" w:color="auto"/>
          </w:divBdr>
        </w:div>
      </w:divsChild>
    </w:div>
    <w:div w:id="512496412">
      <w:bodyDiv w:val="1"/>
      <w:marLeft w:val="0"/>
      <w:marRight w:val="0"/>
      <w:marTop w:val="0"/>
      <w:marBottom w:val="0"/>
      <w:divBdr>
        <w:top w:val="none" w:sz="0" w:space="0" w:color="auto"/>
        <w:left w:val="none" w:sz="0" w:space="0" w:color="auto"/>
        <w:bottom w:val="none" w:sz="0" w:space="0" w:color="auto"/>
        <w:right w:val="none" w:sz="0" w:space="0" w:color="auto"/>
      </w:divBdr>
    </w:div>
    <w:div w:id="570770809">
      <w:bodyDiv w:val="1"/>
      <w:marLeft w:val="0"/>
      <w:marRight w:val="0"/>
      <w:marTop w:val="0"/>
      <w:marBottom w:val="0"/>
      <w:divBdr>
        <w:top w:val="none" w:sz="0" w:space="0" w:color="auto"/>
        <w:left w:val="none" w:sz="0" w:space="0" w:color="auto"/>
        <w:bottom w:val="none" w:sz="0" w:space="0" w:color="auto"/>
        <w:right w:val="none" w:sz="0" w:space="0" w:color="auto"/>
      </w:divBdr>
    </w:div>
    <w:div w:id="613246342">
      <w:bodyDiv w:val="1"/>
      <w:marLeft w:val="0"/>
      <w:marRight w:val="0"/>
      <w:marTop w:val="0"/>
      <w:marBottom w:val="0"/>
      <w:divBdr>
        <w:top w:val="none" w:sz="0" w:space="0" w:color="auto"/>
        <w:left w:val="none" w:sz="0" w:space="0" w:color="auto"/>
        <w:bottom w:val="none" w:sz="0" w:space="0" w:color="auto"/>
        <w:right w:val="none" w:sz="0" w:space="0" w:color="auto"/>
      </w:divBdr>
    </w:div>
    <w:div w:id="637301100">
      <w:bodyDiv w:val="1"/>
      <w:marLeft w:val="0"/>
      <w:marRight w:val="0"/>
      <w:marTop w:val="0"/>
      <w:marBottom w:val="0"/>
      <w:divBdr>
        <w:top w:val="none" w:sz="0" w:space="0" w:color="auto"/>
        <w:left w:val="none" w:sz="0" w:space="0" w:color="auto"/>
        <w:bottom w:val="none" w:sz="0" w:space="0" w:color="auto"/>
        <w:right w:val="none" w:sz="0" w:space="0" w:color="auto"/>
      </w:divBdr>
      <w:divsChild>
        <w:div w:id="1224561077">
          <w:marLeft w:val="0"/>
          <w:marRight w:val="0"/>
          <w:marTop w:val="0"/>
          <w:marBottom w:val="0"/>
          <w:divBdr>
            <w:top w:val="none" w:sz="0" w:space="0" w:color="auto"/>
            <w:left w:val="none" w:sz="0" w:space="0" w:color="auto"/>
            <w:bottom w:val="none" w:sz="0" w:space="0" w:color="auto"/>
            <w:right w:val="none" w:sz="0" w:space="0" w:color="auto"/>
          </w:divBdr>
          <w:divsChild>
            <w:div w:id="2113670360">
              <w:marLeft w:val="0"/>
              <w:marRight w:val="0"/>
              <w:marTop w:val="0"/>
              <w:marBottom w:val="0"/>
              <w:divBdr>
                <w:top w:val="none" w:sz="0" w:space="0" w:color="auto"/>
                <w:left w:val="none" w:sz="0" w:space="0" w:color="auto"/>
                <w:bottom w:val="none" w:sz="0" w:space="0" w:color="auto"/>
                <w:right w:val="none" w:sz="0" w:space="0" w:color="auto"/>
              </w:divBdr>
              <w:divsChild>
                <w:div w:id="1697196805">
                  <w:marLeft w:val="0"/>
                  <w:marRight w:val="0"/>
                  <w:marTop w:val="0"/>
                  <w:marBottom w:val="0"/>
                  <w:divBdr>
                    <w:top w:val="none" w:sz="0" w:space="0" w:color="auto"/>
                    <w:left w:val="none" w:sz="0" w:space="0" w:color="auto"/>
                    <w:bottom w:val="none" w:sz="0" w:space="0" w:color="auto"/>
                    <w:right w:val="none" w:sz="0" w:space="0" w:color="auto"/>
                  </w:divBdr>
                  <w:divsChild>
                    <w:div w:id="346906760">
                      <w:marLeft w:val="0"/>
                      <w:marRight w:val="0"/>
                      <w:marTop w:val="0"/>
                      <w:marBottom w:val="0"/>
                      <w:divBdr>
                        <w:top w:val="single" w:sz="6" w:space="0" w:color="D9E2E9"/>
                        <w:left w:val="single" w:sz="6" w:space="5" w:color="D9E2E9"/>
                        <w:bottom w:val="single" w:sz="6" w:space="12" w:color="D9E2E9"/>
                        <w:right w:val="single" w:sz="6" w:space="5" w:color="D9E2E9"/>
                      </w:divBdr>
                      <w:divsChild>
                        <w:div w:id="1392658925">
                          <w:marLeft w:val="0"/>
                          <w:marRight w:val="0"/>
                          <w:marTop w:val="0"/>
                          <w:marBottom w:val="0"/>
                          <w:divBdr>
                            <w:top w:val="none" w:sz="0" w:space="0" w:color="auto"/>
                            <w:left w:val="none" w:sz="0" w:space="0" w:color="auto"/>
                            <w:bottom w:val="none" w:sz="0" w:space="0" w:color="auto"/>
                            <w:right w:val="none" w:sz="0" w:space="0" w:color="auto"/>
                          </w:divBdr>
                          <w:divsChild>
                            <w:div w:id="1159927732">
                              <w:marLeft w:val="0"/>
                              <w:marRight w:val="0"/>
                              <w:marTop w:val="0"/>
                              <w:marBottom w:val="0"/>
                              <w:divBdr>
                                <w:top w:val="none" w:sz="0" w:space="0" w:color="auto"/>
                                <w:left w:val="none" w:sz="0" w:space="0" w:color="auto"/>
                                <w:bottom w:val="none" w:sz="0" w:space="0" w:color="auto"/>
                                <w:right w:val="none" w:sz="0" w:space="0" w:color="auto"/>
                              </w:divBdr>
                              <w:divsChild>
                                <w:div w:id="1073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79059">
      <w:bodyDiv w:val="1"/>
      <w:marLeft w:val="0"/>
      <w:marRight w:val="0"/>
      <w:marTop w:val="0"/>
      <w:marBottom w:val="0"/>
      <w:divBdr>
        <w:top w:val="none" w:sz="0" w:space="0" w:color="auto"/>
        <w:left w:val="none" w:sz="0" w:space="0" w:color="auto"/>
        <w:bottom w:val="none" w:sz="0" w:space="0" w:color="auto"/>
        <w:right w:val="none" w:sz="0" w:space="0" w:color="auto"/>
      </w:divBdr>
      <w:divsChild>
        <w:div w:id="586427152">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799956288">
      <w:bodyDiv w:val="1"/>
      <w:marLeft w:val="0"/>
      <w:marRight w:val="0"/>
      <w:marTop w:val="0"/>
      <w:marBottom w:val="0"/>
      <w:divBdr>
        <w:top w:val="none" w:sz="0" w:space="0" w:color="auto"/>
        <w:left w:val="none" w:sz="0" w:space="0" w:color="auto"/>
        <w:bottom w:val="none" w:sz="0" w:space="0" w:color="auto"/>
        <w:right w:val="none" w:sz="0" w:space="0" w:color="auto"/>
      </w:divBdr>
      <w:divsChild>
        <w:div w:id="425807395">
          <w:marLeft w:val="543"/>
          <w:marRight w:val="543"/>
          <w:marTop w:val="0"/>
          <w:marBottom w:val="0"/>
          <w:divBdr>
            <w:top w:val="single" w:sz="6" w:space="0" w:color="112449"/>
            <w:left w:val="single" w:sz="6" w:space="0" w:color="112449"/>
            <w:bottom w:val="single" w:sz="6" w:space="0" w:color="112449"/>
            <w:right w:val="single" w:sz="6" w:space="0" w:color="112449"/>
          </w:divBdr>
        </w:div>
      </w:divsChild>
    </w:div>
    <w:div w:id="815998596">
      <w:bodyDiv w:val="1"/>
      <w:marLeft w:val="0"/>
      <w:marRight w:val="0"/>
      <w:marTop w:val="0"/>
      <w:marBottom w:val="0"/>
      <w:divBdr>
        <w:top w:val="none" w:sz="0" w:space="0" w:color="auto"/>
        <w:left w:val="none" w:sz="0" w:space="0" w:color="auto"/>
        <w:bottom w:val="none" w:sz="0" w:space="0" w:color="auto"/>
        <w:right w:val="none" w:sz="0" w:space="0" w:color="auto"/>
      </w:divBdr>
      <w:divsChild>
        <w:div w:id="1380789379">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918173316">
      <w:bodyDiv w:val="1"/>
      <w:marLeft w:val="0"/>
      <w:marRight w:val="0"/>
      <w:marTop w:val="0"/>
      <w:marBottom w:val="0"/>
      <w:divBdr>
        <w:top w:val="none" w:sz="0" w:space="0" w:color="auto"/>
        <w:left w:val="none" w:sz="0" w:space="0" w:color="auto"/>
        <w:bottom w:val="none" w:sz="0" w:space="0" w:color="auto"/>
        <w:right w:val="none" w:sz="0" w:space="0" w:color="auto"/>
      </w:divBdr>
    </w:div>
    <w:div w:id="1012218598">
      <w:bodyDiv w:val="1"/>
      <w:marLeft w:val="0"/>
      <w:marRight w:val="0"/>
      <w:marTop w:val="0"/>
      <w:marBottom w:val="0"/>
      <w:divBdr>
        <w:top w:val="none" w:sz="0" w:space="0" w:color="auto"/>
        <w:left w:val="none" w:sz="0" w:space="0" w:color="auto"/>
        <w:bottom w:val="none" w:sz="0" w:space="0" w:color="auto"/>
        <w:right w:val="none" w:sz="0" w:space="0" w:color="auto"/>
      </w:divBdr>
      <w:divsChild>
        <w:div w:id="837234459">
          <w:marLeft w:val="0"/>
          <w:marRight w:val="0"/>
          <w:marTop w:val="122"/>
          <w:marBottom w:val="122"/>
          <w:divBdr>
            <w:top w:val="none" w:sz="0" w:space="0" w:color="auto"/>
            <w:left w:val="none" w:sz="0" w:space="0" w:color="auto"/>
            <w:bottom w:val="none" w:sz="0" w:space="0" w:color="auto"/>
            <w:right w:val="none" w:sz="0" w:space="0" w:color="auto"/>
          </w:divBdr>
          <w:divsChild>
            <w:div w:id="701366273">
              <w:marLeft w:val="0"/>
              <w:marRight w:val="0"/>
              <w:marTop w:val="0"/>
              <w:marBottom w:val="0"/>
              <w:divBdr>
                <w:top w:val="none" w:sz="0" w:space="0" w:color="auto"/>
                <w:left w:val="none" w:sz="0" w:space="0" w:color="auto"/>
                <w:bottom w:val="none" w:sz="0" w:space="0" w:color="auto"/>
                <w:right w:val="none" w:sz="0" w:space="0" w:color="auto"/>
              </w:divBdr>
              <w:divsChild>
                <w:div w:id="831067869">
                  <w:marLeft w:val="0"/>
                  <w:marRight w:val="0"/>
                  <w:marTop w:val="0"/>
                  <w:marBottom w:val="272"/>
                  <w:divBdr>
                    <w:top w:val="none" w:sz="0" w:space="0" w:color="auto"/>
                    <w:left w:val="none" w:sz="0" w:space="0" w:color="auto"/>
                    <w:bottom w:val="single" w:sz="6" w:space="0" w:color="E6E6E6"/>
                    <w:right w:val="none" w:sz="0" w:space="0" w:color="auto"/>
                  </w:divBdr>
                </w:div>
              </w:divsChild>
            </w:div>
          </w:divsChild>
        </w:div>
      </w:divsChild>
    </w:div>
    <w:div w:id="1061828554">
      <w:bodyDiv w:val="1"/>
      <w:marLeft w:val="0"/>
      <w:marRight w:val="0"/>
      <w:marTop w:val="0"/>
      <w:marBottom w:val="0"/>
      <w:divBdr>
        <w:top w:val="none" w:sz="0" w:space="0" w:color="auto"/>
        <w:left w:val="none" w:sz="0" w:space="0" w:color="auto"/>
        <w:bottom w:val="none" w:sz="0" w:space="0" w:color="auto"/>
        <w:right w:val="none" w:sz="0" w:space="0" w:color="auto"/>
      </w:divBdr>
    </w:div>
    <w:div w:id="1095438685">
      <w:bodyDiv w:val="1"/>
      <w:marLeft w:val="0"/>
      <w:marRight w:val="0"/>
      <w:marTop w:val="0"/>
      <w:marBottom w:val="0"/>
      <w:divBdr>
        <w:top w:val="none" w:sz="0" w:space="0" w:color="auto"/>
        <w:left w:val="none" w:sz="0" w:space="0" w:color="auto"/>
        <w:bottom w:val="none" w:sz="0" w:space="0" w:color="auto"/>
        <w:right w:val="none" w:sz="0" w:space="0" w:color="auto"/>
      </w:divBdr>
    </w:div>
    <w:div w:id="1134366893">
      <w:bodyDiv w:val="1"/>
      <w:marLeft w:val="0"/>
      <w:marRight w:val="0"/>
      <w:marTop w:val="0"/>
      <w:marBottom w:val="0"/>
      <w:divBdr>
        <w:top w:val="none" w:sz="0" w:space="0" w:color="auto"/>
        <w:left w:val="none" w:sz="0" w:space="0" w:color="auto"/>
        <w:bottom w:val="none" w:sz="0" w:space="0" w:color="auto"/>
        <w:right w:val="none" w:sz="0" w:space="0" w:color="auto"/>
      </w:divBdr>
      <w:divsChild>
        <w:div w:id="555164853">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204251181">
      <w:bodyDiv w:val="1"/>
      <w:marLeft w:val="0"/>
      <w:marRight w:val="0"/>
      <w:marTop w:val="0"/>
      <w:marBottom w:val="0"/>
      <w:divBdr>
        <w:top w:val="none" w:sz="0" w:space="0" w:color="auto"/>
        <w:left w:val="none" w:sz="0" w:space="0" w:color="auto"/>
        <w:bottom w:val="none" w:sz="0" w:space="0" w:color="auto"/>
        <w:right w:val="none" w:sz="0" w:space="0" w:color="auto"/>
      </w:divBdr>
      <w:divsChild>
        <w:div w:id="515846403">
          <w:marLeft w:val="360"/>
          <w:marRight w:val="0"/>
          <w:marTop w:val="324"/>
          <w:marBottom w:val="0"/>
          <w:divBdr>
            <w:top w:val="none" w:sz="0" w:space="0" w:color="auto"/>
            <w:left w:val="none" w:sz="0" w:space="0" w:color="auto"/>
            <w:bottom w:val="none" w:sz="0" w:space="0" w:color="auto"/>
            <w:right w:val="none" w:sz="0" w:space="0" w:color="auto"/>
          </w:divBdr>
        </w:div>
        <w:div w:id="1231621279">
          <w:marLeft w:val="720"/>
          <w:marRight w:val="0"/>
          <w:marTop w:val="96"/>
          <w:marBottom w:val="0"/>
          <w:divBdr>
            <w:top w:val="none" w:sz="0" w:space="0" w:color="auto"/>
            <w:left w:val="none" w:sz="0" w:space="0" w:color="auto"/>
            <w:bottom w:val="none" w:sz="0" w:space="0" w:color="auto"/>
            <w:right w:val="none" w:sz="0" w:space="0" w:color="auto"/>
          </w:divBdr>
        </w:div>
        <w:div w:id="998925251">
          <w:marLeft w:val="720"/>
          <w:marRight w:val="0"/>
          <w:marTop w:val="96"/>
          <w:marBottom w:val="0"/>
          <w:divBdr>
            <w:top w:val="none" w:sz="0" w:space="0" w:color="auto"/>
            <w:left w:val="none" w:sz="0" w:space="0" w:color="auto"/>
            <w:bottom w:val="none" w:sz="0" w:space="0" w:color="auto"/>
            <w:right w:val="none" w:sz="0" w:space="0" w:color="auto"/>
          </w:divBdr>
        </w:div>
      </w:divsChild>
    </w:div>
    <w:div w:id="1286354138">
      <w:bodyDiv w:val="1"/>
      <w:marLeft w:val="0"/>
      <w:marRight w:val="0"/>
      <w:marTop w:val="0"/>
      <w:marBottom w:val="0"/>
      <w:divBdr>
        <w:top w:val="none" w:sz="0" w:space="0" w:color="auto"/>
        <w:left w:val="none" w:sz="0" w:space="0" w:color="auto"/>
        <w:bottom w:val="none" w:sz="0" w:space="0" w:color="auto"/>
        <w:right w:val="none" w:sz="0" w:space="0" w:color="auto"/>
      </w:divBdr>
      <w:divsChild>
        <w:div w:id="1884562742">
          <w:marLeft w:val="360"/>
          <w:marRight w:val="0"/>
          <w:marTop w:val="378"/>
          <w:marBottom w:val="0"/>
          <w:divBdr>
            <w:top w:val="none" w:sz="0" w:space="0" w:color="auto"/>
            <w:left w:val="none" w:sz="0" w:space="0" w:color="auto"/>
            <w:bottom w:val="none" w:sz="0" w:space="0" w:color="auto"/>
            <w:right w:val="none" w:sz="0" w:space="0" w:color="auto"/>
          </w:divBdr>
        </w:div>
        <w:div w:id="640304431">
          <w:marLeft w:val="720"/>
          <w:marRight w:val="0"/>
          <w:marTop w:val="108"/>
          <w:marBottom w:val="0"/>
          <w:divBdr>
            <w:top w:val="none" w:sz="0" w:space="0" w:color="auto"/>
            <w:left w:val="none" w:sz="0" w:space="0" w:color="auto"/>
            <w:bottom w:val="none" w:sz="0" w:space="0" w:color="auto"/>
            <w:right w:val="none" w:sz="0" w:space="0" w:color="auto"/>
          </w:divBdr>
        </w:div>
        <w:div w:id="1209680477">
          <w:marLeft w:val="720"/>
          <w:marRight w:val="0"/>
          <w:marTop w:val="108"/>
          <w:marBottom w:val="0"/>
          <w:divBdr>
            <w:top w:val="none" w:sz="0" w:space="0" w:color="auto"/>
            <w:left w:val="none" w:sz="0" w:space="0" w:color="auto"/>
            <w:bottom w:val="none" w:sz="0" w:space="0" w:color="auto"/>
            <w:right w:val="none" w:sz="0" w:space="0" w:color="auto"/>
          </w:divBdr>
        </w:div>
        <w:div w:id="1921870374">
          <w:marLeft w:val="1080"/>
          <w:marRight w:val="0"/>
          <w:marTop w:val="58"/>
          <w:marBottom w:val="0"/>
          <w:divBdr>
            <w:top w:val="none" w:sz="0" w:space="0" w:color="auto"/>
            <w:left w:val="none" w:sz="0" w:space="0" w:color="auto"/>
            <w:bottom w:val="none" w:sz="0" w:space="0" w:color="auto"/>
            <w:right w:val="none" w:sz="0" w:space="0" w:color="auto"/>
          </w:divBdr>
        </w:div>
      </w:divsChild>
    </w:div>
    <w:div w:id="1288119518">
      <w:bodyDiv w:val="1"/>
      <w:marLeft w:val="0"/>
      <w:marRight w:val="0"/>
      <w:marTop w:val="0"/>
      <w:marBottom w:val="0"/>
      <w:divBdr>
        <w:top w:val="none" w:sz="0" w:space="0" w:color="auto"/>
        <w:left w:val="none" w:sz="0" w:space="0" w:color="auto"/>
        <w:bottom w:val="none" w:sz="0" w:space="0" w:color="auto"/>
        <w:right w:val="none" w:sz="0" w:space="0" w:color="auto"/>
      </w:divBdr>
      <w:divsChild>
        <w:div w:id="170797287">
          <w:marLeft w:val="360"/>
          <w:marRight w:val="0"/>
          <w:marTop w:val="378"/>
          <w:marBottom w:val="0"/>
          <w:divBdr>
            <w:top w:val="none" w:sz="0" w:space="0" w:color="auto"/>
            <w:left w:val="none" w:sz="0" w:space="0" w:color="auto"/>
            <w:bottom w:val="none" w:sz="0" w:space="0" w:color="auto"/>
            <w:right w:val="none" w:sz="0" w:space="0" w:color="auto"/>
          </w:divBdr>
        </w:div>
        <w:div w:id="1160970896">
          <w:marLeft w:val="720"/>
          <w:marRight w:val="0"/>
          <w:marTop w:val="108"/>
          <w:marBottom w:val="0"/>
          <w:divBdr>
            <w:top w:val="none" w:sz="0" w:space="0" w:color="auto"/>
            <w:left w:val="none" w:sz="0" w:space="0" w:color="auto"/>
            <w:bottom w:val="none" w:sz="0" w:space="0" w:color="auto"/>
            <w:right w:val="none" w:sz="0" w:space="0" w:color="auto"/>
          </w:divBdr>
        </w:div>
        <w:div w:id="1597859812">
          <w:marLeft w:val="720"/>
          <w:marRight w:val="0"/>
          <w:marTop w:val="108"/>
          <w:marBottom w:val="0"/>
          <w:divBdr>
            <w:top w:val="none" w:sz="0" w:space="0" w:color="auto"/>
            <w:left w:val="none" w:sz="0" w:space="0" w:color="auto"/>
            <w:bottom w:val="none" w:sz="0" w:space="0" w:color="auto"/>
            <w:right w:val="none" w:sz="0" w:space="0" w:color="auto"/>
          </w:divBdr>
        </w:div>
        <w:div w:id="866679375">
          <w:marLeft w:val="1080"/>
          <w:marRight w:val="0"/>
          <w:marTop w:val="58"/>
          <w:marBottom w:val="0"/>
          <w:divBdr>
            <w:top w:val="none" w:sz="0" w:space="0" w:color="auto"/>
            <w:left w:val="none" w:sz="0" w:space="0" w:color="auto"/>
            <w:bottom w:val="none" w:sz="0" w:space="0" w:color="auto"/>
            <w:right w:val="none" w:sz="0" w:space="0" w:color="auto"/>
          </w:divBdr>
        </w:div>
      </w:divsChild>
    </w:div>
    <w:div w:id="1306466411">
      <w:bodyDiv w:val="1"/>
      <w:marLeft w:val="0"/>
      <w:marRight w:val="0"/>
      <w:marTop w:val="0"/>
      <w:marBottom w:val="0"/>
      <w:divBdr>
        <w:top w:val="none" w:sz="0" w:space="0" w:color="auto"/>
        <w:left w:val="none" w:sz="0" w:space="0" w:color="auto"/>
        <w:bottom w:val="none" w:sz="0" w:space="0" w:color="auto"/>
        <w:right w:val="none" w:sz="0" w:space="0" w:color="auto"/>
      </w:divBdr>
    </w:div>
    <w:div w:id="1368263184">
      <w:bodyDiv w:val="1"/>
      <w:marLeft w:val="0"/>
      <w:marRight w:val="0"/>
      <w:marTop w:val="0"/>
      <w:marBottom w:val="0"/>
      <w:divBdr>
        <w:top w:val="none" w:sz="0" w:space="0" w:color="auto"/>
        <w:left w:val="none" w:sz="0" w:space="0" w:color="auto"/>
        <w:bottom w:val="none" w:sz="0" w:space="0" w:color="auto"/>
        <w:right w:val="none" w:sz="0" w:space="0" w:color="auto"/>
      </w:divBdr>
    </w:div>
    <w:div w:id="1429961721">
      <w:bodyDiv w:val="1"/>
      <w:marLeft w:val="0"/>
      <w:marRight w:val="0"/>
      <w:marTop w:val="0"/>
      <w:marBottom w:val="0"/>
      <w:divBdr>
        <w:top w:val="none" w:sz="0" w:space="0" w:color="auto"/>
        <w:left w:val="none" w:sz="0" w:space="0" w:color="auto"/>
        <w:bottom w:val="none" w:sz="0" w:space="0" w:color="auto"/>
        <w:right w:val="none" w:sz="0" w:space="0" w:color="auto"/>
      </w:divBdr>
    </w:div>
    <w:div w:id="1443184201">
      <w:bodyDiv w:val="1"/>
      <w:marLeft w:val="0"/>
      <w:marRight w:val="0"/>
      <w:marTop w:val="0"/>
      <w:marBottom w:val="0"/>
      <w:divBdr>
        <w:top w:val="none" w:sz="0" w:space="0" w:color="auto"/>
        <w:left w:val="none" w:sz="0" w:space="0" w:color="auto"/>
        <w:bottom w:val="none" w:sz="0" w:space="0" w:color="auto"/>
        <w:right w:val="none" w:sz="0" w:space="0" w:color="auto"/>
      </w:divBdr>
    </w:div>
    <w:div w:id="1450931891">
      <w:bodyDiv w:val="1"/>
      <w:marLeft w:val="0"/>
      <w:marRight w:val="0"/>
      <w:marTop w:val="0"/>
      <w:marBottom w:val="0"/>
      <w:divBdr>
        <w:top w:val="none" w:sz="0" w:space="0" w:color="auto"/>
        <w:left w:val="none" w:sz="0" w:space="0" w:color="auto"/>
        <w:bottom w:val="none" w:sz="0" w:space="0" w:color="auto"/>
        <w:right w:val="none" w:sz="0" w:space="0" w:color="auto"/>
      </w:divBdr>
    </w:div>
    <w:div w:id="1455172226">
      <w:bodyDiv w:val="1"/>
      <w:marLeft w:val="0"/>
      <w:marRight w:val="0"/>
      <w:marTop w:val="0"/>
      <w:marBottom w:val="0"/>
      <w:divBdr>
        <w:top w:val="none" w:sz="0" w:space="0" w:color="auto"/>
        <w:left w:val="none" w:sz="0" w:space="0" w:color="auto"/>
        <w:bottom w:val="none" w:sz="0" w:space="0" w:color="auto"/>
        <w:right w:val="none" w:sz="0" w:space="0" w:color="auto"/>
      </w:divBdr>
    </w:div>
    <w:div w:id="1463227683">
      <w:bodyDiv w:val="1"/>
      <w:marLeft w:val="0"/>
      <w:marRight w:val="0"/>
      <w:marTop w:val="0"/>
      <w:marBottom w:val="0"/>
      <w:divBdr>
        <w:top w:val="none" w:sz="0" w:space="0" w:color="auto"/>
        <w:left w:val="none" w:sz="0" w:space="0" w:color="auto"/>
        <w:bottom w:val="none" w:sz="0" w:space="0" w:color="auto"/>
        <w:right w:val="none" w:sz="0" w:space="0" w:color="auto"/>
      </w:divBdr>
      <w:divsChild>
        <w:div w:id="712657140">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474176630">
      <w:bodyDiv w:val="1"/>
      <w:marLeft w:val="0"/>
      <w:marRight w:val="0"/>
      <w:marTop w:val="0"/>
      <w:marBottom w:val="0"/>
      <w:divBdr>
        <w:top w:val="none" w:sz="0" w:space="0" w:color="auto"/>
        <w:left w:val="none" w:sz="0" w:space="0" w:color="auto"/>
        <w:bottom w:val="none" w:sz="0" w:space="0" w:color="auto"/>
        <w:right w:val="none" w:sz="0" w:space="0" w:color="auto"/>
      </w:divBdr>
    </w:div>
    <w:div w:id="1518353327">
      <w:bodyDiv w:val="1"/>
      <w:marLeft w:val="0"/>
      <w:marRight w:val="0"/>
      <w:marTop w:val="0"/>
      <w:marBottom w:val="0"/>
      <w:divBdr>
        <w:top w:val="none" w:sz="0" w:space="0" w:color="auto"/>
        <w:left w:val="none" w:sz="0" w:space="0" w:color="auto"/>
        <w:bottom w:val="none" w:sz="0" w:space="0" w:color="auto"/>
        <w:right w:val="none" w:sz="0" w:space="0" w:color="auto"/>
      </w:divBdr>
      <w:divsChild>
        <w:div w:id="1093890085">
          <w:marLeft w:val="576"/>
          <w:marRight w:val="0"/>
          <w:marTop w:val="378"/>
          <w:marBottom w:val="0"/>
          <w:divBdr>
            <w:top w:val="none" w:sz="0" w:space="0" w:color="auto"/>
            <w:left w:val="none" w:sz="0" w:space="0" w:color="auto"/>
            <w:bottom w:val="none" w:sz="0" w:space="0" w:color="auto"/>
            <w:right w:val="none" w:sz="0" w:space="0" w:color="auto"/>
          </w:divBdr>
        </w:div>
      </w:divsChild>
    </w:div>
    <w:div w:id="1542521485">
      <w:bodyDiv w:val="1"/>
      <w:marLeft w:val="0"/>
      <w:marRight w:val="0"/>
      <w:marTop w:val="0"/>
      <w:marBottom w:val="0"/>
      <w:divBdr>
        <w:top w:val="none" w:sz="0" w:space="0" w:color="auto"/>
        <w:left w:val="none" w:sz="0" w:space="0" w:color="auto"/>
        <w:bottom w:val="none" w:sz="0" w:space="0" w:color="auto"/>
        <w:right w:val="none" w:sz="0" w:space="0" w:color="auto"/>
      </w:divBdr>
    </w:div>
    <w:div w:id="1579054520">
      <w:bodyDiv w:val="1"/>
      <w:marLeft w:val="0"/>
      <w:marRight w:val="0"/>
      <w:marTop w:val="0"/>
      <w:marBottom w:val="0"/>
      <w:divBdr>
        <w:top w:val="none" w:sz="0" w:space="0" w:color="auto"/>
        <w:left w:val="none" w:sz="0" w:space="0" w:color="auto"/>
        <w:bottom w:val="none" w:sz="0" w:space="0" w:color="auto"/>
        <w:right w:val="none" w:sz="0" w:space="0" w:color="auto"/>
      </w:divBdr>
    </w:div>
    <w:div w:id="1641839179">
      <w:bodyDiv w:val="1"/>
      <w:marLeft w:val="0"/>
      <w:marRight w:val="0"/>
      <w:marTop w:val="0"/>
      <w:marBottom w:val="0"/>
      <w:divBdr>
        <w:top w:val="none" w:sz="0" w:space="0" w:color="auto"/>
        <w:left w:val="none" w:sz="0" w:space="0" w:color="auto"/>
        <w:bottom w:val="none" w:sz="0" w:space="0" w:color="auto"/>
        <w:right w:val="none" w:sz="0" w:space="0" w:color="auto"/>
      </w:divBdr>
    </w:div>
    <w:div w:id="1667172032">
      <w:bodyDiv w:val="1"/>
      <w:marLeft w:val="0"/>
      <w:marRight w:val="0"/>
      <w:marTop w:val="0"/>
      <w:marBottom w:val="0"/>
      <w:divBdr>
        <w:top w:val="none" w:sz="0" w:space="0" w:color="auto"/>
        <w:left w:val="none" w:sz="0" w:space="0" w:color="auto"/>
        <w:bottom w:val="none" w:sz="0" w:space="0" w:color="auto"/>
        <w:right w:val="none" w:sz="0" w:space="0" w:color="auto"/>
      </w:divBdr>
    </w:div>
    <w:div w:id="1681347312">
      <w:bodyDiv w:val="1"/>
      <w:marLeft w:val="0"/>
      <w:marRight w:val="0"/>
      <w:marTop w:val="0"/>
      <w:marBottom w:val="0"/>
      <w:divBdr>
        <w:top w:val="none" w:sz="0" w:space="0" w:color="auto"/>
        <w:left w:val="none" w:sz="0" w:space="0" w:color="auto"/>
        <w:bottom w:val="none" w:sz="0" w:space="0" w:color="auto"/>
        <w:right w:val="none" w:sz="0" w:space="0" w:color="auto"/>
      </w:divBdr>
    </w:div>
    <w:div w:id="1718045059">
      <w:bodyDiv w:val="1"/>
      <w:marLeft w:val="0"/>
      <w:marRight w:val="0"/>
      <w:marTop w:val="0"/>
      <w:marBottom w:val="0"/>
      <w:divBdr>
        <w:top w:val="none" w:sz="0" w:space="0" w:color="auto"/>
        <w:left w:val="none" w:sz="0" w:space="0" w:color="auto"/>
        <w:bottom w:val="none" w:sz="0" w:space="0" w:color="auto"/>
        <w:right w:val="none" w:sz="0" w:space="0" w:color="auto"/>
      </w:divBdr>
    </w:div>
    <w:div w:id="1832603623">
      <w:bodyDiv w:val="1"/>
      <w:marLeft w:val="0"/>
      <w:marRight w:val="0"/>
      <w:marTop w:val="0"/>
      <w:marBottom w:val="0"/>
      <w:divBdr>
        <w:top w:val="none" w:sz="0" w:space="0" w:color="auto"/>
        <w:left w:val="none" w:sz="0" w:space="0" w:color="auto"/>
        <w:bottom w:val="none" w:sz="0" w:space="0" w:color="auto"/>
        <w:right w:val="none" w:sz="0" w:space="0" w:color="auto"/>
      </w:divBdr>
    </w:div>
    <w:div w:id="1897810404">
      <w:bodyDiv w:val="1"/>
      <w:marLeft w:val="0"/>
      <w:marRight w:val="0"/>
      <w:marTop w:val="0"/>
      <w:marBottom w:val="0"/>
      <w:divBdr>
        <w:top w:val="none" w:sz="0" w:space="0" w:color="auto"/>
        <w:left w:val="none" w:sz="0" w:space="0" w:color="auto"/>
        <w:bottom w:val="none" w:sz="0" w:space="0" w:color="auto"/>
        <w:right w:val="none" w:sz="0" w:space="0" w:color="auto"/>
      </w:divBdr>
      <w:divsChild>
        <w:div w:id="2141996477">
          <w:marLeft w:val="0"/>
          <w:marRight w:val="0"/>
          <w:marTop w:val="0"/>
          <w:marBottom w:val="0"/>
          <w:divBdr>
            <w:top w:val="none" w:sz="0" w:space="0" w:color="auto"/>
            <w:left w:val="none" w:sz="0" w:space="0" w:color="auto"/>
            <w:bottom w:val="none" w:sz="0" w:space="0" w:color="auto"/>
            <w:right w:val="none" w:sz="0" w:space="0" w:color="auto"/>
          </w:divBdr>
          <w:divsChild>
            <w:div w:id="1206869799">
              <w:marLeft w:val="0"/>
              <w:marRight w:val="0"/>
              <w:marTop w:val="0"/>
              <w:marBottom w:val="0"/>
              <w:divBdr>
                <w:top w:val="none" w:sz="0" w:space="0" w:color="auto"/>
                <w:left w:val="none" w:sz="0" w:space="0" w:color="auto"/>
                <w:bottom w:val="none" w:sz="0" w:space="0" w:color="auto"/>
                <w:right w:val="none" w:sz="0" w:space="0" w:color="auto"/>
              </w:divBdr>
              <w:divsChild>
                <w:div w:id="152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596">
      <w:bodyDiv w:val="1"/>
      <w:marLeft w:val="0"/>
      <w:marRight w:val="0"/>
      <w:marTop w:val="0"/>
      <w:marBottom w:val="0"/>
      <w:divBdr>
        <w:top w:val="none" w:sz="0" w:space="0" w:color="auto"/>
        <w:left w:val="none" w:sz="0" w:space="0" w:color="auto"/>
        <w:bottom w:val="none" w:sz="0" w:space="0" w:color="auto"/>
        <w:right w:val="none" w:sz="0" w:space="0" w:color="auto"/>
      </w:divBdr>
    </w:div>
    <w:div w:id="1967344444">
      <w:bodyDiv w:val="1"/>
      <w:marLeft w:val="0"/>
      <w:marRight w:val="0"/>
      <w:marTop w:val="0"/>
      <w:marBottom w:val="0"/>
      <w:divBdr>
        <w:top w:val="none" w:sz="0" w:space="0" w:color="auto"/>
        <w:left w:val="none" w:sz="0" w:space="0" w:color="auto"/>
        <w:bottom w:val="none" w:sz="0" w:space="0" w:color="auto"/>
        <w:right w:val="none" w:sz="0" w:space="0" w:color="auto"/>
      </w:divBdr>
    </w:div>
    <w:div w:id="2011638463">
      <w:bodyDiv w:val="1"/>
      <w:marLeft w:val="0"/>
      <w:marRight w:val="0"/>
      <w:marTop w:val="0"/>
      <w:marBottom w:val="0"/>
      <w:divBdr>
        <w:top w:val="none" w:sz="0" w:space="0" w:color="auto"/>
        <w:left w:val="none" w:sz="0" w:space="0" w:color="auto"/>
        <w:bottom w:val="none" w:sz="0" w:space="0" w:color="auto"/>
        <w:right w:val="none" w:sz="0" w:space="0" w:color="auto"/>
      </w:divBdr>
    </w:div>
    <w:div w:id="2063750325">
      <w:bodyDiv w:val="1"/>
      <w:marLeft w:val="0"/>
      <w:marRight w:val="0"/>
      <w:marTop w:val="0"/>
      <w:marBottom w:val="0"/>
      <w:divBdr>
        <w:top w:val="none" w:sz="0" w:space="0" w:color="auto"/>
        <w:left w:val="none" w:sz="0" w:space="0" w:color="auto"/>
        <w:bottom w:val="none" w:sz="0" w:space="0" w:color="auto"/>
        <w:right w:val="none" w:sz="0" w:space="0" w:color="auto"/>
      </w:divBdr>
    </w:div>
    <w:div w:id="2102752148">
      <w:bodyDiv w:val="1"/>
      <w:marLeft w:val="0"/>
      <w:marRight w:val="0"/>
      <w:marTop w:val="0"/>
      <w:marBottom w:val="0"/>
      <w:divBdr>
        <w:top w:val="none" w:sz="0" w:space="0" w:color="auto"/>
        <w:left w:val="none" w:sz="0" w:space="0" w:color="auto"/>
        <w:bottom w:val="none" w:sz="0" w:space="0" w:color="auto"/>
        <w:right w:val="none" w:sz="0" w:space="0" w:color="auto"/>
      </w:divBdr>
    </w:div>
    <w:div w:id="2110156766">
      <w:bodyDiv w:val="1"/>
      <w:marLeft w:val="0"/>
      <w:marRight w:val="0"/>
      <w:marTop w:val="0"/>
      <w:marBottom w:val="0"/>
      <w:divBdr>
        <w:top w:val="none" w:sz="0" w:space="0" w:color="auto"/>
        <w:left w:val="none" w:sz="0" w:space="0" w:color="auto"/>
        <w:bottom w:val="none" w:sz="0" w:space="0" w:color="auto"/>
        <w:right w:val="none" w:sz="0" w:space="0" w:color="auto"/>
      </w:divBdr>
    </w:div>
    <w:div w:id="2122145310">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21296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sAction.do?reference=MEMO/07/330&amp;format=HTML&amp;aged=0&amp;language=EN&amp;guiLanguage=en" TargetMode="External"/><Relationship Id="rId13" Type="http://schemas.openxmlformats.org/officeDocument/2006/relationships/hyperlink" Target="http://www.justice.gov/atr/public/speeches/203627.htm" TargetMode="External"/><Relationship Id="rId3" Type="http://schemas.openxmlformats.org/officeDocument/2006/relationships/hyperlink" Target="http://itlaw.wikia.com/wiki/Department_of_Justice" TargetMode="External"/><Relationship Id="rId7" Type="http://schemas.openxmlformats.org/officeDocument/2006/relationships/hyperlink" Target="http://europa.eu/rapid/pressReleasesAction.do?reference=MEMO/09/549&amp;format=HTML&amp;aged=0&amp;language=EN&amp;guiLanguage=en" TargetMode="External"/><Relationship Id="rId12" Type="http://schemas.openxmlformats.org/officeDocument/2006/relationships/hyperlink" Target="http://ec.europa.eu/competition/mergers/cases/decisions/m950_20110504_600_1828017_EN.pdf" TargetMode="External"/><Relationship Id="rId2" Type="http://schemas.openxmlformats.org/officeDocument/2006/relationships/hyperlink" Target="http://ftc.gov/os/2003/10/innovationrpt.pdf" TargetMode="External"/><Relationship Id="rId1" Type="http://schemas.openxmlformats.org/officeDocument/2006/relationships/hyperlink" Target="http://www.usdoj.gov/atr/public/hearings/ip/222655.pdf" TargetMode="External"/><Relationship Id="rId6" Type="http://schemas.openxmlformats.org/officeDocument/2006/relationships/hyperlink" Target="http://ec.europa.eu/competition/elojade/isef/case_details.cfm?proc_code=1_39615" TargetMode="External"/><Relationship Id="rId11" Type="http://schemas.openxmlformats.org/officeDocument/2006/relationships/hyperlink" Target="http://ssrn.com/abstract=970250" TargetMode="External"/><Relationship Id="rId5" Type="http://schemas.openxmlformats.org/officeDocument/2006/relationships/hyperlink" Target="http://eur-lex.europa.eu/LexUriServ/LexUriServ.do?uri=CELEX:62004TJ0201:EN:PDF" TargetMode="External"/><Relationship Id="rId15" Type="http://schemas.openxmlformats.org/officeDocument/2006/relationships/hyperlink" Target="http://www.ftc.gov/speeches/pitofsky/hitch.shtm" TargetMode="External"/><Relationship Id="rId10" Type="http://schemas.openxmlformats.org/officeDocument/2006/relationships/hyperlink" Target="http://ec.europa.eu/competition/mergers/cases/decisions/m2698_en.pdf" TargetMode="External"/><Relationship Id="rId4" Type="http://schemas.openxmlformats.org/officeDocument/2006/relationships/hyperlink" Target="http://itlaw.wikia.com/wiki/Federal_Trade_Commission" TargetMode="External"/><Relationship Id="rId9" Type="http://schemas.openxmlformats.org/officeDocument/2006/relationships/hyperlink" Target="http://ec.europa.eu/competition/antitrust/cases/dec_docs/38636/38636_1192_5.pdf" TargetMode="External"/><Relationship Id="rId14" Type="http://schemas.openxmlformats.org/officeDocument/2006/relationships/hyperlink" Target="http://www.bruegel.org/scholars/scholar-detail/scholar/25-reinhilde-veuge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B70F-4840-44C4-B4FB-7A82EFBE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49184A70.dotm</Template>
  <TotalTime>1</TotalTime>
  <Pages>27</Pages>
  <Words>6556</Words>
  <Characters>53104</Characters>
  <Application>Microsoft Office Word</Application>
  <DocSecurity>4</DocSecurity>
  <Lines>442</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wanglei</dc:creator>
  <cp:lastModifiedBy>rudanko</cp:lastModifiedBy>
  <cp:revision>2</cp:revision>
  <cp:lastPrinted>2012-01-13T13:07:00Z</cp:lastPrinted>
  <dcterms:created xsi:type="dcterms:W3CDTF">2015-01-28T15:04:00Z</dcterms:created>
  <dcterms:modified xsi:type="dcterms:W3CDTF">2015-01-28T15:04:00Z</dcterms:modified>
</cp:coreProperties>
</file>