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E0" w:rsidRPr="00463721" w:rsidRDefault="00834063">
      <w:pPr>
        <w:rPr>
          <w:rFonts w:cstheme="minorHAnsi"/>
          <w:b/>
          <w:color w:val="A6A6A6" w:themeColor="background1" w:themeShade="A6"/>
          <w:sz w:val="24"/>
          <w:lang w:val="en-US"/>
        </w:rPr>
      </w:pPr>
      <w:r w:rsidRPr="00463721">
        <w:rPr>
          <w:rFonts w:cstheme="minorHAnsi"/>
          <w:b/>
          <w:color w:val="A6A6A6" w:themeColor="background1" w:themeShade="A6"/>
          <w:sz w:val="24"/>
          <w:lang w:val="en-US"/>
        </w:rPr>
        <w:t>Creativity papers to read for Wed 27.2. (there will be a quiz)</w:t>
      </w:r>
    </w:p>
    <w:p w:rsidR="00834063" w:rsidRPr="00463721" w:rsidRDefault="00834063">
      <w:pPr>
        <w:rPr>
          <w:rFonts w:cstheme="minorHAnsi"/>
          <w:color w:val="A6A6A6" w:themeColor="background1" w:themeShade="A6"/>
          <w:lang w:val="en-US"/>
        </w:rPr>
      </w:pPr>
    </w:p>
    <w:p w:rsidR="00834063" w:rsidRPr="00463721" w:rsidRDefault="00834063" w:rsidP="00834063">
      <w:pPr>
        <w:spacing w:after="0" w:line="240" w:lineRule="auto"/>
        <w:rPr>
          <w:rFonts w:eastAsia="Times New Roman" w:cstheme="minorHAnsi"/>
          <w:color w:val="A6A6A6" w:themeColor="background1" w:themeShade="A6"/>
          <w:lang w:eastAsia="fi-FI"/>
        </w:rPr>
      </w:pPr>
      <w:r w:rsidRPr="00463721">
        <w:rPr>
          <w:rFonts w:eastAsia="Times New Roman" w:cstheme="minorHAnsi"/>
          <w:color w:val="A6A6A6" w:themeColor="background1" w:themeShade="A6"/>
          <w:lang w:val="en-US" w:eastAsia="fi-FI"/>
        </w:rPr>
        <w:t xml:space="preserve">1) Kershaw, T. C., Bhowmick, S., Seepersad, C. C., &amp; Hölttä-Otto, K. (2019). A Decision Tree Based Methodology for Evaluating Creativity in Engineering Design. </w:t>
      </w:r>
      <w:r w:rsidRPr="00463721">
        <w:rPr>
          <w:rFonts w:eastAsia="Times New Roman" w:cstheme="minorHAnsi"/>
          <w:i/>
          <w:iCs/>
          <w:color w:val="A6A6A6" w:themeColor="background1" w:themeShade="A6"/>
          <w:lang w:eastAsia="fi-FI"/>
        </w:rPr>
        <w:t>Frontiers in Psychology</w:t>
      </w:r>
      <w:r w:rsidRPr="00463721">
        <w:rPr>
          <w:rFonts w:eastAsia="Times New Roman" w:cstheme="minorHAnsi"/>
          <w:color w:val="A6A6A6" w:themeColor="background1" w:themeShade="A6"/>
          <w:lang w:eastAsia="fi-FI"/>
        </w:rPr>
        <w:t xml:space="preserve">, </w:t>
      </w:r>
      <w:r w:rsidRPr="00463721">
        <w:rPr>
          <w:rFonts w:eastAsia="Times New Roman" w:cstheme="minorHAnsi"/>
          <w:i/>
          <w:iCs/>
          <w:color w:val="A6A6A6" w:themeColor="background1" w:themeShade="A6"/>
          <w:lang w:eastAsia="fi-FI"/>
        </w:rPr>
        <w:t>10</w:t>
      </w:r>
      <w:r w:rsidRPr="00463721">
        <w:rPr>
          <w:rFonts w:eastAsia="Times New Roman" w:cstheme="minorHAnsi"/>
          <w:color w:val="A6A6A6" w:themeColor="background1" w:themeShade="A6"/>
          <w:lang w:eastAsia="fi-FI"/>
        </w:rPr>
        <w:t>, 32.</w:t>
      </w:r>
    </w:p>
    <w:p w:rsidR="00834063" w:rsidRPr="00463721" w:rsidRDefault="00834063">
      <w:pPr>
        <w:rPr>
          <w:rFonts w:cstheme="minorHAnsi"/>
          <w:color w:val="A6A6A6" w:themeColor="background1" w:themeShade="A6"/>
          <w:lang w:val="en-US"/>
        </w:rPr>
      </w:pPr>
    </w:p>
    <w:p w:rsidR="00834063" w:rsidRPr="00463721" w:rsidRDefault="00834063" w:rsidP="00834063">
      <w:pPr>
        <w:ind w:left="993"/>
        <w:rPr>
          <w:rFonts w:cstheme="minorHAnsi"/>
          <w:color w:val="A6A6A6" w:themeColor="background1" w:themeShade="A6"/>
          <w:lang w:val="en-US"/>
        </w:rPr>
      </w:pPr>
      <w:r w:rsidRPr="00463721">
        <w:rPr>
          <w:rFonts w:cstheme="minorHAnsi"/>
          <w:color w:val="A6A6A6" w:themeColor="background1" w:themeShade="A6"/>
          <w:lang w:val="en-US"/>
        </w:rPr>
        <w:t>(the above is an alternative to the one below (which you can also read instead of the above). This is via Taylor &amp; Francis that we no longer have access to:</w:t>
      </w:r>
    </w:p>
    <w:p w:rsidR="00834063" w:rsidRPr="00463721" w:rsidRDefault="00834063" w:rsidP="00834063">
      <w:pPr>
        <w:ind w:left="993"/>
        <w:rPr>
          <w:rFonts w:cstheme="minorHAnsi"/>
          <w:color w:val="A6A6A6" w:themeColor="background1" w:themeShade="A6"/>
          <w:lang w:val="en-US"/>
        </w:rPr>
      </w:pPr>
      <w:r w:rsidRPr="00463721">
        <w:rPr>
          <w:rFonts w:cstheme="minorHAnsi"/>
          <w:color w:val="A6A6A6" w:themeColor="background1" w:themeShade="A6"/>
          <w:lang w:val="en-US"/>
        </w:rPr>
        <w:t xml:space="preserve">Runco, M. A., &amp; Acar, S. (2012). Divergent thinking as an indicator of creative potential. </w:t>
      </w:r>
      <w:r w:rsidRPr="00463721">
        <w:rPr>
          <w:rFonts w:cstheme="minorHAnsi"/>
          <w:i/>
          <w:iCs/>
          <w:color w:val="A6A6A6" w:themeColor="background1" w:themeShade="A6"/>
          <w:lang w:val="en-US"/>
        </w:rPr>
        <w:t>Creativity Research Journal</w:t>
      </w:r>
      <w:r w:rsidRPr="00463721">
        <w:rPr>
          <w:rFonts w:cstheme="minorHAnsi"/>
          <w:color w:val="A6A6A6" w:themeColor="background1" w:themeShade="A6"/>
          <w:lang w:val="en-US"/>
        </w:rPr>
        <w:t xml:space="preserve">, </w:t>
      </w:r>
      <w:r w:rsidRPr="00463721">
        <w:rPr>
          <w:rFonts w:cstheme="minorHAnsi"/>
          <w:i/>
          <w:iCs/>
          <w:color w:val="A6A6A6" w:themeColor="background1" w:themeShade="A6"/>
          <w:lang w:val="en-US"/>
        </w:rPr>
        <w:t>24</w:t>
      </w:r>
      <w:r w:rsidRPr="00463721">
        <w:rPr>
          <w:rFonts w:cstheme="minorHAnsi"/>
          <w:color w:val="A6A6A6" w:themeColor="background1" w:themeShade="A6"/>
          <w:lang w:val="en-US"/>
        </w:rPr>
        <w:t>(1), 66-75.</w:t>
      </w:r>
    </w:p>
    <w:p w:rsidR="00834063" w:rsidRPr="00463721" w:rsidRDefault="00834063" w:rsidP="00834063">
      <w:pPr>
        <w:ind w:left="993"/>
        <w:rPr>
          <w:rFonts w:cstheme="minorHAnsi"/>
          <w:color w:val="A6A6A6" w:themeColor="background1" w:themeShade="A6"/>
          <w:lang w:val="en-US"/>
        </w:rPr>
      </w:pPr>
      <w:r w:rsidRPr="00463721">
        <w:rPr>
          <w:rFonts w:cstheme="minorHAnsi"/>
          <w:color w:val="A6A6A6" w:themeColor="background1" w:themeShade="A6"/>
          <w:lang w:val="en-US"/>
        </w:rPr>
        <w:t>)</w:t>
      </w:r>
    </w:p>
    <w:p w:rsidR="00834063" w:rsidRPr="00463721" w:rsidRDefault="00834063" w:rsidP="00834063">
      <w:pPr>
        <w:rPr>
          <w:rFonts w:cstheme="minorHAnsi"/>
          <w:color w:val="A6A6A6" w:themeColor="background1" w:themeShade="A6"/>
          <w:lang w:val="en-US"/>
        </w:rPr>
      </w:pPr>
    </w:p>
    <w:p w:rsidR="00834063" w:rsidRPr="00463721" w:rsidRDefault="00834063" w:rsidP="00834063">
      <w:pPr>
        <w:rPr>
          <w:rFonts w:cstheme="minorHAnsi"/>
          <w:color w:val="A6A6A6" w:themeColor="background1" w:themeShade="A6"/>
          <w:lang w:val="en-US"/>
        </w:rPr>
      </w:pPr>
      <w:r w:rsidRPr="00463721">
        <w:rPr>
          <w:rFonts w:cstheme="minorHAnsi"/>
          <w:color w:val="A6A6A6" w:themeColor="background1" w:themeShade="A6"/>
          <w:lang w:val="en-US"/>
        </w:rPr>
        <w:t>AND</w:t>
      </w:r>
    </w:p>
    <w:p w:rsidR="00834063" w:rsidRPr="00463721" w:rsidRDefault="00834063" w:rsidP="00834063">
      <w:pPr>
        <w:rPr>
          <w:rFonts w:cstheme="minorHAnsi"/>
          <w:color w:val="A6A6A6" w:themeColor="background1" w:themeShade="A6"/>
          <w:lang w:val="en-US"/>
        </w:rPr>
      </w:pPr>
    </w:p>
    <w:p w:rsidR="00834063" w:rsidRPr="00463721" w:rsidRDefault="00834063" w:rsidP="00834063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 w:eastAsia="fi-FI"/>
        </w:rPr>
      </w:pPr>
      <w:r w:rsidRPr="0046372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en-US" w:eastAsia="fi-FI"/>
        </w:rPr>
        <w:t xml:space="preserve">2) </w:t>
      </w:r>
      <w:r w:rsidRPr="00463721">
        <w:rPr>
          <w:rFonts w:eastAsia="Times New Roman" w:cstheme="minorHAnsi"/>
          <w:color w:val="A6A6A6" w:themeColor="background1" w:themeShade="A6"/>
          <w:szCs w:val="24"/>
          <w:lang w:val="en-US" w:eastAsia="fi-FI"/>
        </w:rPr>
        <w:t xml:space="preserve">Chan, J., Fu, K., Schunn, C., Cagan, J., Wood, K., &amp; Kotovsky, K. (2011). On the benefits and pitfalls of analogies for innovative design: Ideation performance based on analogical distance, commonness, and modality of examples. </w:t>
      </w:r>
      <w:r w:rsidRPr="00463721">
        <w:rPr>
          <w:rFonts w:eastAsia="Times New Roman" w:cstheme="minorHAnsi"/>
          <w:i/>
          <w:iCs/>
          <w:color w:val="A6A6A6" w:themeColor="background1" w:themeShade="A6"/>
          <w:szCs w:val="24"/>
          <w:lang w:val="en-US" w:eastAsia="fi-FI"/>
        </w:rPr>
        <w:t>Journal of mechanical design</w:t>
      </w:r>
      <w:r w:rsidRPr="00463721">
        <w:rPr>
          <w:rFonts w:eastAsia="Times New Roman" w:cstheme="minorHAnsi"/>
          <w:color w:val="A6A6A6" w:themeColor="background1" w:themeShade="A6"/>
          <w:szCs w:val="24"/>
          <w:lang w:val="en-US" w:eastAsia="fi-FI"/>
        </w:rPr>
        <w:t xml:space="preserve">, </w:t>
      </w:r>
      <w:r w:rsidRPr="00463721">
        <w:rPr>
          <w:rFonts w:eastAsia="Times New Roman" w:cstheme="minorHAnsi"/>
          <w:i/>
          <w:iCs/>
          <w:color w:val="A6A6A6" w:themeColor="background1" w:themeShade="A6"/>
          <w:szCs w:val="24"/>
          <w:lang w:val="en-US" w:eastAsia="fi-FI"/>
        </w:rPr>
        <w:t>133</w:t>
      </w:r>
      <w:r w:rsidRPr="00463721">
        <w:rPr>
          <w:rFonts w:eastAsia="Times New Roman" w:cstheme="minorHAnsi"/>
          <w:color w:val="A6A6A6" w:themeColor="background1" w:themeShade="A6"/>
          <w:szCs w:val="24"/>
          <w:lang w:val="en-US" w:eastAsia="fi-FI"/>
        </w:rPr>
        <w:t>(8), 081004.</w:t>
      </w:r>
    </w:p>
    <w:p w:rsidR="00834063" w:rsidRDefault="00834063" w:rsidP="00834063">
      <w:pPr>
        <w:rPr>
          <w:rFonts w:cstheme="minorHAnsi"/>
          <w:lang w:val="en-US"/>
        </w:rPr>
      </w:pPr>
    </w:p>
    <w:p w:rsidR="00834063" w:rsidRPr="00C43F92" w:rsidRDefault="00C43F92" w:rsidP="00834063">
      <w:pPr>
        <w:rPr>
          <w:rFonts w:cstheme="minorHAnsi"/>
          <w:b/>
          <w:lang w:val="en-US"/>
        </w:rPr>
      </w:pPr>
      <w:r w:rsidRPr="00463721">
        <w:rPr>
          <w:rFonts w:cstheme="minorHAnsi"/>
          <w:b/>
          <w:color w:val="FF0000"/>
          <w:lang w:val="en-US"/>
        </w:rPr>
        <w:t xml:space="preserve">SCHÈDULE CHANGE </w:t>
      </w:r>
      <w:r w:rsidRPr="00C43F92">
        <w:rPr>
          <w:rFonts w:cstheme="minorHAnsi"/>
          <w:b/>
          <w:lang w:val="en-US"/>
        </w:rPr>
        <w:t>– Functional thinking &amp; System architecture classes merged and held on 13.3. Wed 6.3. is a by week where, you will place the reading thus far on the mid map we created in the beginning of the class. Each paper can be placed in multiple locations.</w:t>
      </w:r>
      <w:r w:rsidR="00463721">
        <w:rPr>
          <w:rFonts w:cstheme="minorHAnsi"/>
          <w:b/>
          <w:lang w:val="en-US"/>
        </w:rPr>
        <w:t xml:space="preserve"> Bring this map to class on 13.3. Can be done in groups or alone, even all together.</w:t>
      </w:r>
    </w:p>
    <w:p w:rsidR="00C43F92" w:rsidRDefault="00C43F92" w:rsidP="00834063">
      <w:pPr>
        <w:rPr>
          <w:rFonts w:cstheme="minorHAnsi"/>
          <w:lang w:val="en-US"/>
        </w:rPr>
      </w:pPr>
    </w:p>
    <w:p w:rsidR="00C43F92" w:rsidRPr="00C43F92" w:rsidRDefault="00834063" w:rsidP="00834063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Functional Thinking</w:t>
      </w:r>
      <w:r w:rsidR="00C43F92">
        <w:rPr>
          <w:rFonts w:cstheme="minorHAnsi"/>
          <w:b/>
          <w:sz w:val="24"/>
          <w:lang w:val="en-US"/>
        </w:rPr>
        <w:t>/System Architecture</w:t>
      </w:r>
      <w:r w:rsidRPr="00834063">
        <w:rPr>
          <w:rFonts w:cstheme="minorHAnsi"/>
          <w:b/>
          <w:sz w:val="24"/>
          <w:lang w:val="en-US"/>
        </w:rPr>
        <w:t xml:space="preserve"> papers to read for Wed </w:t>
      </w:r>
      <w:r w:rsidR="00C43F92">
        <w:rPr>
          <w:rFonts w:cstheme="minorHAnsi"/>
          <w:b/>
          <w:sz w:val="24"/>
          <w:lang w:val="en-US"/>
        </w:rPr>
        <w:t>13</w:t>
      </w:r>
      <w:r>
        <w:rPr>
          <w:rFonts w:cstheme="minorHAnsi"/>
          <w:b/>
          <w:sz w:val="24"/>
          <w:lang w:val="en-US"/>
        </w:rPr>
        <w:t>.3</w:t>
      </w:r>
      <w:r w:rsidRPr="00834063">
        <w:rPr>
          <w:rFonts w:cstheme="minorHAnsi"/>
          <w:b/>
          <w:sz w:val="24"/>
          <w:lang w:val="en-US"/>
        </w:rPr>
        <w:t>. (there will be a quiz)</w:t>
      </w:r>
    </w:p>
    <w:p w:rsidR="00C43F92" w:rsidRPr="008215C7" w:rsidRDefault="00C43F92" w:rsidP="00834063">
      <w:pPr>
        <w:rPr>
          <w:lang w:val="en-US"/>
        </w:rPr>
      </w:pPr>
      <w:r w:rsidRPr="00C43F92">
        <w:rPr>
          <w:lang w:val="en-US"/>
        </w:rPr>
        <w:t xml:space="preserve">Booth, J. W., Reid, T. N., Eckert, C., &amp; Ramani, K. (2015). Comparing functional analysis methods for product dissection tasks. </w:t>
      </w:r>
      <w:r w:rsidRPr="008215C7">
        <w:rPr>
          <w:i/>
          <w:iCs/>
          <w:lang w:val="en-US"/>
        </w:rPr>
        <w:t>Journal of Mechanical Design</w:t>
      </w:r>
      <w:r w:rsidRPr="008215C7">
        <w:rPr>
          <w:lang w:val="en-US"/>
        </w:rPr>
        <w:t xml:space="preserve">, </w:t>
      </w:r>
      <w:r w:rsidRPr="008215C7">
        <w:rPr>
          <w:i/>
          <w:iCs/>
          <w:lang w:val="en-US"/>
        </w:rPr>
        <w:t>137</w:t>
      </w:r>
      <w:r w:rsidRPr="008215C7">
        <w:rPr>
          <w:lang w:val="en-US"/>
        </w:rPr>
        <w:t>(8), 081101.</w:t>
      </w:r>
    </w:p>
    <w:p w:rsidR="00C43F92" w:rsidRDefault="00AB57D4" w:rsidP="00AB57D4">
      <w:r w:rsidRPr="00AB57D4">
        <w:rPr>
          <w:lang w:val="en-US"/>
        </w:rPr>
        <w:t xml:space="preserve">Stone, R. B., Wood, K. L., &amp; Crawford, R. H. (2000). A heuristic method for identifying modules for product architectures. </w:t>
      </w:r>
      <w:r>
        <w:rPr>
          <w:i/>
          <w:iCs/>
        </w:rPr>
        <w:t>Design Studies</w:t>
      </w:r>
      <w:r>
        <w:t xml:space="preserve">, </w:t>
      </w:r>
      <w:r>
        <w:rPr>
          <w:i/>
          <w:iCs/>
        </w:rPr>
        <w:t>21</w:t>
      </w:r>
      <w:r>
        <w:t>(1), 5-31.</w:t>
      </w:r>
    </w:p>
    <w:p w:rsidR="008215C7" w:rsidRDefault="008215C7" w:rsidP="00AB57D4"/>
    <w:p w:rsidR="008215C7" w:rsidRPr="00B14C92" w:rsidRDefault="008215C7" w:rsidP="00AB57D4">
      <w:pPr>
        <w:rPr>
          <w:b/>
          <w:sz w:val="24"/>
          <w:lang w:val="en-US"/>
        </w:rPr>
      </w:pPr>
      <w:r w:rsidRPr="00B14C92">
        <w:rPr>
          <w:b/>
          <w:sz w:val="24"/>
          <w:lang w:val="en-US"/>
        </w:rPr>
        <w:t>Prototyping</w:t>
      </w:r>
      <w:r w:rsidR="00840A30">
        <w:rPr>
          <w:b/>
          <w:sz w:val="24"/>
          <w:lang w:val="en-US"/>
        </w:rPr>
        <w:t xml:space="preserve"> </w:t>
      </w:r>
      <w:bookmarkStart w:id="0" w:name="_GoBack"/>
      <w:bookmarkEnd w:id="0"/>
    </w:p>
    <w:p w:rsidR="008215C7" w:rsidRDefault="00997290" w:rsidP="008215C7">
      <w:pPr>
        <w:rPr>
          <w:rFonts w:cstheme="minorHAnsi"/>
          <w:lang w:val="en-US"/>
        </w:rPr>
      </w:pPr>
      <w:r w:rsidRPr="00997290">
        <w:rPr>
          <w:rFonts w:cstheme="minorHAnsi"/>
          <w:lang w:val="en-US"/>
        </w:rPr>
        <w:t>Tiong, E., Seow, O., Camburn, B., Teo, K., Silva, A., Wood, K. L., ... &amp; Yang, M. C. (2019). The Economies and Dimensionality of Design Prototyping: Value, Time, Cost, and Fidelity. Journal of Mechanical Design, 141(3), 031105.</w:t>
      </w:r>
    </w:p>
    <w:p w:rsidR="00997290" w:rsidRDefault="00997290" w:rsidP="008215C7">
      <w:pPr>
        <w:rPr>
          <w:rFonts w:cstheme="minorHAnsi"/>
          <w:lang w:val="en-US"/>
        </w:rPr>
      </w:pPr>
    </w:p>
    <w:p w:rsidR="008215C7" w:rsidRPr="00834063" w:rsidRDefault="00997290" w:rsidP="00997290">
      <w:pPr>
        <w:rPr>
          <w:rFonts w:cstheme="minorHAnsi"/>
          <w:lang w:val="en-US"/>
        </w:rPr>
      </w:pPr>
      <w:r w:rsidRPr="00997290">
        <w:rPr>
          <w:rFonts w:cstheme="minorHAnsi"/>
          <w:lang w:val="en-US"/>
        </w:rPr>
        <w:t>Houde, S., &amp; Hill, C. (1997). What do prototypes prototype?. In Handbook of human-computer interaction (pp. 367-381). North-Holland.</w:t>
      </w:r>
    </w:p>
    <w:sectPr w:rsidR="008215C7" w:rsidRPr="0083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23"/>
    <w:multiLevelType w:val="hybridMultilevel"/>
    <w:tmpl w:val="FC1C6B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63"/>
    <w:rsid w:val="001174FF"/>
    <w:rsid w:val="002F7F3C"/>
    <w:rsid w:val="003E305E"/>
    <w:rsid w:val="00463721"/>
    <w:rsid w:val="00584193"/>
    <w:rsid w:val="00627B39"/>
    <w:rsid w:val="007F637F"/>
    <w:rsid w:val="008215C7"/>
    <w:rsid w:val="00834063"/>
    <w:rsid w:val="00840A30"/>
    <w:rsid w:val="008D7B8E"/>
    <w:rsid w:val="00997290"/>
    <w:rsid w:val="00A51817"/>
    <w:rsid w:val="00A74CE0"/>
    <w:rsid w:val="00AB57D4"/>
    <w:rsid w:val="00B13B60"/>
    <w:rsid w:val="00B14C92"/>
    <w:rsid w:val="00C20AEB"/>
    <w:rsid w:val="00C43F92"/>
    <w:rsid w:val="00C5790C"/>
    <w:rsid w:val="00E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3ADB"/>
  <w15:chartTrackingRefBased/>
  <w15:docId w15:val="{4DCDE621-44CB-4DAA-9976-FADF7F0F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1</Pages>
  <Words>217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Hölttä-Otto Katja</dc:creator>
  <cp:keywords/>
  <dc:description/>
  <cp:lastModifiedBy>Hölttä-Otto Katja</cp:lastModifiedBy>
  <cp:revision>7</cp:revision>
  <dcterms:created xsi:type="dcterms:W3CDTF">2019-02-13T17:00:00Z</dcterms:created>
  <dcterms:modified xsi:type="dcterms:W3CDTF">2019-03-13T16:16:00Z</dcterms:modified>
</cp:coreProperties>
</file>