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0E" w:rsidRDefault="006E330E" w:rsidP="006E330E">
      <w:pPr>
        <w:rPr>
          <w:color w:val="1F497D"/>
          <w:sz w:val="22"/>
          <w:szCs w:val="22"/>
          <w:lang w:eastAsia="en-US"/>
        </w:rPr>
      </w:pPr>
      <w:r>
        <w:rPr>
          <w:color w:val="1F497D"/>
          <w:sz w:val="22"/>
          <w:szCs w:val="22"/>
          <w:lang w:eastAsia="en-US"/>
        </w:rPr>
        <w:t xml:space="preserve">International </w:t>
      </w:r>
      <w:proofErr w:type="spellStart"/>
      <w:r>
        <w:rPr>
          <w:color w:val="1F497D"/>
          <w:sz w:val="22"/>
          <w:szCs w:val="22"/>
          <w:lang w:eastAsia="en-US"/>
        </w:rPr>
        <w:t>Student</w:t>
      </w:r>
      <w:proofErr w:type="spellEnd"/>
      <w:r>
        <w:rPr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color w:val="1F497D"/>
          <w:sz w:val="22"/>
          <w:szCs w:val="22"/>
          <w:lang w:eastAsia="en-US"/>
        </w:rPr>
        <w:t>Barometer</w:t>
      </w:r>
      <w:proofErr w:type="spellEnd"/>
      <w:r>
        <w:rPr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color w:val="1F497D"/>
          <w:sz w:val="22"/>
          <w:szCs w:val="22"/>
          <w:lang w:eastAsia="en-US"/>
        </w:rPr>
        <w:t>survey</w:t>
      </w:r>
      <w:proofErr w:type="spellEnd"/>
      <w:r>
        <w:rPr>
          <w:color w:val="1F497D"/>
          <w:sz w:val="22"/>
          <w:szCs w:val="22"/>
          <w:lang w:eastAsia="en-US"/>
        </w:rPr>
        <w:t xml:space="preserve"> 2017</w:t>
      </w:r>
    </w:p>
    <w:p w:rsidR="006E330E" w:rsidRDefault="006E330E" w:rsidP="006E330E">
      <w:pPr>
        <w:rPr>
          <w:color w:val="1F497D"/>
          <w:sz w:val="22"/>
          <w:szCs w:val="22"/>
          <w:lang w:eastAsia="en-US"/>
        </w:rPr>
      </w:pPr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ISB survey done in Aalto: 2010, 2011, 2014 and now 2017 </w:t>
      </w:r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Globally: 110,386 international students responded </w:t>
      </w:r>
      <w:r>
        <w:rPr>
          <w:b/>
          <w:bCs/>
          <w:color w:val="1F497D"/>
          <w:sz w:val="22"/>
          <w:szCs w:val="22"/>
          <w:lang w:val="en-US" w:eastAsia="en-US"/>
        </w:rPr>
        <w:br/>
        <w:t>from 129 institutions in 17 countries</w:t>
      </w:r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Institution-specific results compared against comparator groups, </w:t>
      </w:r>
      <w:r>
        <w:rPr>
          <w:b/>
          <w:bCs/>
          <w:color w:val="1F497D"/>
          <w:sz w:val="22"/>
          <w:szCs w:val="22"/>
          <w:lang w:val="en-US" w:eastAsia="en-US"/>
        </w:rPr>
        <w:br/>
        <w:t>national and international benchmarks</w:t>
      </w:r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>Aalto’s results have been benchmarked together with 15 Finnish HEI and 22 international HEI (higher education institution)</w:t>
      </w:r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>Aalto: 41% response rate (Finland 40%, Europe 39%, Global 28%)</w:t>
      </w:r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eastAsia="en-US"/>
        </w:rPr>
      </w:pPr>
      <w:r>
        <w:rPr>
          <w:b/>
          <w:bCs/>
          <w:color w:val="1F497D"/>
          <w:sz w:val="22"/>
          <w:szCs w:val="22"/>
          <w:lang w:eastAsia="en-US"/>
        </w:rPr>
        <w:t xml:space="preserve">Aalto: 284 </w:t>
      </w:r>
      <w:proofErr w:type="spellStart"/>
      <w:r>
        <w:rPr>
          <w:b/>
          <w:bCs/>
          <w:color w:val="1F497D"/>
          <w:sz w:val="22"/>
          <w:szCs w:val="22"/>
          <w:lang w:eastAsia="en-US"/>
        </w:rPr>
        <w:t>doctoral</w:t>
      </w:r>
      <w:proofErr w:type="spellEnd"/>
      <w:r>
        <w:rPr>
          <w:b/>
          <w:bCs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color w:val="1F497D"/>
          <w:sz w:val="22"/>
          <w:szCs w:val="22"/>
          <w:lang w:eastAsia="en-US"/>
        </w:rPr>
        <w:t>level</w:t>
      </w:r>
      <w:proofErr w:type="spellEnd"/>
      <w:r>
        <w:rPr>
          <w:b/>
          <w:bCs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b/>
          <w:bCs/>
          <w:color w:val="1F497D"/>
          <w:sz w:val="22"/>
          <w:szCs w:val="22"/>
          <w:lang w:eastAsia="en-US"/>
        </w:rPr>
        <w:t>respondents</w:t>
      </w:r>
      <w:proofErr w:type="spellEnd"/>
    </w:p>
    <w:p w:rsidR="006E330E" w:rsidRDefault="006E330E" w:rsidP="006E330E">
      <w:pPr>
        <w:numPr>
          <w:ilvl w:val="0"/>
          <w:numId w:val="1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>All the results in the presentation are Aalto’s results if not mentioned otherwise</w:t>
      </w: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  <w:r>
        <w:rPr>
          <w:color w:val="1F497D"/>
          <w:sz w:val="22"/>
          <w:szCs w:val="22"/>
          <w:lang w:val="en-US" w:eastAsia="en-US"/>
        </w:rPr>
        <w:t>Main comments concerning Aalto according to the survey:</w:t>
      </w:r>
    </w:p>
    <w:p w:rsidR="006E330E" w:rsidRDefault="006E330E" w:rsidP="006E330E">
      <w:pPr>
        <w:numPr>
          <w:ilvl w:val="0"/>
          <w:numId w:val="2"/>
        </w:numPr>
        <w:rPr>
          <w:color w:val="1F497D"/>
          <w:sz w:val="22"/>
          <w:szCs w:val="22"/>
          <w:lang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When compared with the other universities in the benchmark group, Aalto </w:t>
      </w:r>
      <w:proofErr w:type="spellStart"/>
      <w:r>
        <w:rPr>
          <w:b/>
          <w:bCs/>
          <w:color w:val="1F497D"/>
          <w:sz w:val="22"/>
          <w:szCs w:val="22"/>
          <w:lang w:val="en-US" w:eastAsia="en-US"/>
        </w:rPr>
        <w:t>alumnis</w:t>
      </w:r>
      <w:proofErr w:type="spellEnd"/>
      <w:r>
        <w:rPr>
          <w:b/>
          <w:bCs/>
          <w:color w:val="1F497D"/>
          <w:sz w:val="22"/>
          <w:szCs w:val="22"/>
          <w:lang w:val="en-US" w:eastAsia="en-US"/>
        </w:rPr>
        <w:t xml:space="preserve"> are a significant influencer when deciding the study place (1. </w:t>
      </w:r>
      <w:proofErr w:type="spellStart"/>
      <w:r>
        <w:rPr>
          <w:b/>
          <w:bCs/>
          <w:color w:val="1F497D"/>
          <w:sz w:val="22"/>
          <w:szCs w:val="22"/>
          <w:lang w:eastAsia="en-US"/>
        </w:rPr>
        <w:t>Website</w:t>
      </w:r>
      <w:proofErr w:type="spellEnd"/>
      <w:r>
        <w:rPr>
          <w:b/>
          <w:bCs/>
          <w:color w:val="1F497D"/>
          <w:sz w:val="22"/>
          <w:szCs w:val="22"/>
          <w:lang w:eastAsia="en-US"/>
        </w:rPr>
        <w:t xml:space="preserve"> 46% 2. </w:t>
      </w:r>
      <w:proofErr w:type="spellStart"/>
      <w:r>
        <w:rPr>
          <w:b/>
          <w:bCs/>
          <w:color w:val="1F497D"/>
          <w:sz w:val="22"/>
          <w:szCs w:val="22"/>
          <w:lang w:eastAsia="en-US"/>
        </w:rPr>
        <w:t>friends</w:t>
      </w:r>
      <w:proofErr w:type="spellEnd"/>
      <w:r>
        <w:rPr>
          <w:b/>
          <w:bCs/>
          <w:color w:val="1F497D"/>
          <w:sz w:val="22"/>
          <w:szCs w:val="22"/>
          <w:lang w:eastAsia="en-US"/>
        </w:rPr>
        <w:t xml:space="preserve"> 40%, 3. </w:t>
      </w:r>
      <w:proofErr w:type="spellStart"/>
      <w:r>
        <w:rPr>
          <w:b/>
          <w:bCs/>
          <w:color w:val="1F497D"/>
          <w:sz w:val="22"/>
          <w:szCs w:val="22"/>
          <w:lang w:eastAsia="en-US"/>
        </w:rPr>
        <w:t>alumnnis</w:t>
      </w:r>
      <w:proofErr w:type="spellEnd"/>
      <w:r>
        <w:rPr>
          <w:b/>
          <w:bCs/>
          <w:color w:val="1F497D"/>
          <w:sz w:val="22"/>
          <w:szCs w:val="22"/>
          <w:lang w:eastAsia="en-US"/>
        </w:rPr>
        <w:t xml:space="preserve"> 28%)</w:t>
      </w:r>
    </w:p>
    <w:p w:rsidR="006E330E" w:rsidRDefault="006E330E" w:rsidP="006E330E">
      <w:pPr>
        <w:numPr>
          <w:ilvl w:val="0"/>
          <w:numId w:val="2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Employment and employability does count. Students want understanding about local job markets </w:t>
      </w:r>
      <w:proofErr w:type="gramStart"/>
      <w:r>
        <w:rPr>
          <w:b/>
          <w:bCs/>
          <w:color w:val="1F497D"/>
          <w:sz w:val="22"/>
          <w:szCs w:val="22"/>
          <w:lang w:val="en-US" w:eastAsia="en-US"/>
        </w:rPr>
        <w:t>and ”</w:t>
      </w:r>
      <w:proofErr w:type="gramEnd"/>
      <w:r>
        <w:rPr>
          <w:b/>
          <w:bCs/>
          <w:color w:val="1F497D"/>
          <w:sz w:val="22"/>
          <w:szCs w:val="22"/>
          <w:lang w:val="en-US" w:eastAsia="en-US"/>
        </w:rPr>
        <w:t xml:space="preserve">how getting employed happens” in Finland </w:t>
      </w:r>
      <w:r>
        <w:rPr>
          <w:b/>
          <w:bCs/>
          <w:color w:val="1F497D"/>
          <w:sz w:val="22"/>
          <w:szCs w:val="22"/>
          <w:lang w:val="en-US" w:eastAsia="en-US"/>
        </w:rPr>
        <w:br/>
        <w:t>– and especially from the teaching staff, not only from the career unit.</w:t>
      </w:r>
    </w:p>
    <w:p w:rsidR="006E330E" w:rsidRDefault="006E330E" w:rsidP="006E330E">
      <w:pPr>
        <w:numPr>
          <w:ilvl w:val="0"/>
          <w:numId w:val="2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>International and Finnish students do not meet</w:t>
      </w:r>
    </w:p>
    <w:p w:rsidR="006E330E" w:rsidRDefault="006E330E" w:rsidP="006E330E">
      <w:pPr>
        <w:numPr>
          <w:ilvl w:val="0"/>
          <w:numId w:val="2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Better information about visa and banking issues </w:t>
      </w:r>
    </w:p>
    <w:p w:rsidR="006E330E" w:rsidRDefault="006E330E" w:rsidP="006E330E">
      <w:pPr>
        <w:ind w:left="720"/>
        <w:rPr>
          <w:color w:val="1F497D"/>
          <w:sz w:val="22"/>
          <w:szCs w:val="22"/>
          <w:lang w:val="en-US" w:eastAsia="en-US"/>
        </w:rPr>
      </w:pP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  <w:r>
        <w:rPr>
          <w:color w:val="1F497D"/>
          <w:sz w:val="22"/>
          <w:szCs w:val="22"/>
          <w:lang w:val="en-US" w:eastAsia="en-US"/>
        </w:rPr>
        <w:t>Most important when choosing the study place?</w:t>
      </w:r>
    </w:p>
    <w:p w:rsidR="006E330E" w:rsidRDefault="006E330E" w:rsidP="006E330E">
      <w:pPr>
        <w:numPr>
          <w:ilvl w:val="0"/>
          <w:numId w:val="3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>Based on: Aalto’s reputation (70%), specific course tittles, research quality, cost of study, personal safety, earning potential</w:t>
      </w:r>
    </w:p>
    <w:p w:rsidR="006E330E" w:rsidRDefault="006E330E" w:rsidP="006E330E">
      <w:pPr>
        <w:numPr>
          <w:ilvl w:val="0"/>
          <w:numId w:val="3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Aalto has a relatively high brand image (70%) = The significance of Aalto’s reputation was emphasized when compared to benchmarking universities </w:t>
      </w: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>Overall satisfaction to learning at Aalto: 25% very satisfied + 65% satisfied = 90%</w:t>
      </w: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  <w:r>
        <w:rPr>
          <w:color w:val="1F497D"/>
          <w:sz w:val="22"/>
          <w:szCs w:val="22"/>
          <w:lang w:val="en-US" w:eastAsia="en-US"/>
        </w:rPr>
        <w:t xml:space="preserve">Conclusions (by Nannette </w:t>
      </w:r>
      <w:proofErr w:type="spellStart"/>
      <w:r>
        <w:rPr>
          <w:color w:val="1F497D"/>
          <w:sz w:val="22"/>
          <w:szCs w:val="22"/>
          <w:lang w:val="en-US" w:eastAsia="en-US"/>
        </w:rPr>
        <w:t>Ripmeester</w:t>
      </w:r>
      <w:proofErr w:type="spellEnd"/>
      <w:r>
        <w:rPr>
          <w:color w:val="1F497D"/>
          <w:sz w:val="22"/>
          <w:szCs w:val="22"/>
          <w:lang w:val="en-US" w:eastAsia="en-US"/>
        </w:rPr>
        <w:t>):</w:t>
      </w:r>
    </w:p>
    <w:p w:rsidR="006E330E" w:rsidRDefault="006E330E" w:rsidP="006E330E">
      <w:pPr>
        <w:pStyle w:val="ListParagraph"/>
        <w:numPr>
          <w:ilvl w:val="0"/>
          <w:numId w:val="4"/>
        </w:numPr>
        <w:rPr>
          <w:b/>
          <w:bCs/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The challenge that Finland and Aalto have </w:t>
      </w:r>
      <w:proofErr w:type="gramStart"/>
      <w:r>
        <w:rPr>
          <w:b/>
          <w:bCs/>
          <w:color w:val="1F497D"/>
          <w:sz w:val="22"/>
          <w:szCs w:val="22"/>
          <w:lang w:val="en-US" w:eastAsia="en-US"/>
        </w:rPr>
        <w:t>is ”</w:t>
      </w:r>
      <w:proofErr w:type="gramEnd"/>
      <w:r>
        <w:rPr>
          <w:b/>
          <w:bCs/>
          <w:color w:val="1F497D"/>
          <w:sz w:val="22"/>
          <w:szCs w:val="22"/>
          <w:lang w:val="en-US" w:eastAsia="en-US"/>
        </w:rPr>
        <w:t xml:space="preserve">managing expectations”. Students applying to Finland and Aalto already have high expectations about the quality of studies, the university and life in general. If the expectations </w:t>
      </w:r>
      <w:proofErr w:type="gramStart"/>
      <w:r>
        <w:rPr>
          <w:b/>
          <w:bCs/>
          <w:color w:val="1F497D"/>
          <w:sz w:val="22"/>
          <w:szCs w:val="22"/>
          <w:lang w:val="en-US" w:eastAsia="en-US"/>
        </w:rPr>
        <w:t>are not met</w:t>
      </w:r>
      <w:proofErr w:type="gramEnd"/>
      <w:r>
        <w:rPr>
          <w:b/>
          <w:bCs/>
          <w:color w:val="1F497D"/>
          <w:sz w:val="22"/>
          <w:szCs w:val="22"/>
          <w:lang w:val="en-US" w:eastAsia="en-US"/>
        </w:rPr>
        <w:t>, the critique is also tougher than if the expectations would have been lower to start with; it is easier to forgive if things were not even expected to be that good.</w:t>
      </w:r>
    </w:p>
    <w:p w:rsidR="006E330E" w:rsidRDefault="006E330E" w:rsidP="006E330E">
      <w:pPr>
        <w:pStyle w:val="ListParagraph"/>
        <w:numPr>
          <w:ilvl w:val="0"/>
          <w:numId w:val="4"/>
        </w:numPr>
        <w:rPr>
          <w:color w:val="1F497D"/>
          <w:sz w:val="22"/>
          <w:szCs w:val="22"/>
          <w:lang w:val="en-US" w:eastAsia="en-US"/>
        </w:rPr>
      </w:pPr>
      <w:r>
        <w:rPr>
          <w:b/>
          <w:bCs/>
          <w:color w:val="1F497D"/>
          <w:sz w:val="22"/>
          <w:szCs w:val="22"/>
          <w:lang w:val="en-US" w:eastAsia="en-US"/>
        </w:rPr>
        <w:t xml:space="preserve">In some results there is e.g. 87% or even better satisfaction, which is a great result – but when comparing to benchmarking universities, in that group Aalto can still remain in the end of the line when the results are put into perspective. </w:t>
      </w:r>
      <w:proofErr w:type="gramStart"/>
      <w:r>
        <w:rPr>
          <w:b/>
          <w:bCs/>
          <w:color w:val="1F497D"/>
          <w:sz w:val="22"/>
          <w:szCs w:val="22"/>
          <w:lang w:val="en-US" w:eastAsia="en-US"/>
        </w:rPr>
        <w:t>So</w:t>
      </w:r>
      <w:proofErr w:type="gramEnd"/>
      <w:r>
        <w:rPr>
          <w:b/>
          <w:bCs/>
          <w:color w:val="1F497D"/>
          <w:sz w:val="22"/>
          <w:szCs w:val="22"/>
          <w:lang w:val="en-US" w:eastAsia="en-US"/>
        </w:rPr>
        <w:t xml:space="preserve"> there is always room to improve.</w:t>
      </w: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</w:p>
    <w:p w:rsidR="006E330E" w:rsidRDefault="006E330E" w:rsidP="006E330E">
      <w:pPr>
        <w:rPr>
          <w:color w:val="1F497D"/>
          <w:sz w:val="22"/>
          <w:szCs w:val="22"/>
          <w:lang w:val="en-US" w:eastAsia="en-US"/>
        </w:rPr>
      </w:pPr>
    </w:p>
    <w:p w:rsidR="00471876" w:rsidRDefault="00471876">
      <w:bookmarkStart w:id="0" w:name="_GoBack"/>
      <w:bookmarkEnd w:id="0"/>
    </w:p>
    <w:sectPr w:rsidR="0047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C28"/>
    <w:multiLevelType w:val="hybridMultilevel"/>
    <w:tmpl w:val="FF3667B8"/>
    <w:lvl w:ilvl="0" w:tplc="5328A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261A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A647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BA2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EC2A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7CCB3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2891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F02C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BC5B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5755732"/>
    <w:multiLevelType w:val="hybridMultilevel"/>
    <w:tmpl w:val="B6685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71797"/>
    <w:multiLevelType w:val="hybridMultilevel"/>
    <w:tmpl w:val="4DB0EECA"/>
    <w:lvl w:ilvl="0" w:tplc="6652A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D07C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B43A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75C34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928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D7C5F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7343E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99863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AC33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2DF54C1"/>
    <w:multiLevelType w:val="hybridMultilevel"/>
    <w:tmpl w:val="6B2E206A"/>
    <w:lvl w:ilvl="0" w:tplc="0BCCC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C27B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E04F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9C78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E1E88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3A2F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D6E5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D7EF6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1421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0E"/>
    <w:rsid w:val="000163B5"/>
    <w:rsid w:val="00052F67"/>
    <w:rsid w:val="00053EBE"/>
    <w:rsid w:val="00087D55"/>
    <w:rsid w:val="00096B5A"/>
    <w:rsid w:val="000A3B4F"/>
    <w:rsid w:val="000A7A0E"/>
    <w:rsid w:val="000E5C11"/>
    <w:rsid w:val="000F587B"/>
    <w:rsid w:val="000F7E3D"/>
    <w:rsid w:val="00101DFB"/>
    <w:rsid w:val="00105F54"/>
    <w:rsid w:val="00111549"/>
    <w:rsid w:val="001403A6"/>
    <w:rsid w:val="0015183D"/>
    <w:rsid w:val="00166D28"/>
    <w:rsid w:val="00177850"/>
    <w:rsid w:val="001818CA"/>
    <w:rsid w:val="001B262C"/>
    <w:rsid w:val="001D4031"/>
    <w:rsid w:val="001F53D8"/>
    <w:rsid w:val="001F590D"/>
    <w:rsid w:val="001F74B4"/>
    <w:rsid w:val="00203A0E"/>
    <w:rsid w:val="0020406F"/>
    <w:rsid w:val="00221331"/>
    <w:rsid w:val="00221F62"/>
    <w:rsid w:val="00225A68"/>
    <w:rsid w:val="00232BDB"/>
    <w:rsid w:val="00232D7B"/>
    <w:rsid w:val="00260BC0"/>
    <w:rsid w:val="00270A38"/>
    <w:rsid w:val="00277424"/>
    <w:rsid w:val="002871F6"/>
    <w:rsid w:val="00291217"/>
    <w:rsid w:val="00300E9E"/>
    <w:rsid w:val="00313E1C"/>
    <w:rsid w:val="00322619"/>
    <w:rsid w:val="00322CD6"/>
    <w:rsid w:val="0034287A"/>
    <w:rsid w:val="00342D88"/>
    <w:rsid w:val="00362B86"/>
    <w:rsid w:val="003674E0"/>
    <w:rsid w:val="0037647A"/>
    <w:rsid w:val="00384FB7"/>
    <w:rsid w:val="003A6805"/>
    <w:rsid w:val="003D61DF"/>
    <w:rsid w:val="003D6FB3"/>
    <w:rsid w:val="004016DF"/>
    <w:rsid w:val="004155F3"/>
    <w:rsid w:val="00435BBC"/>
    <w:rsid w:val="0044317F"/>
    <w:rsid w:val="004668BD"/>
    <w:rsid w:val="00471876"/>
    <w:rsid w:val="004A40A3"/>
    <w:rsid w:val="004A5C1E"/>
    <w:rsid w:val="004B2021"/>
    <w:rsid w:val="004B7D0A"/>
    <w:rsid w:val="004D7C69"/>
    <w:rsid w:val="004F56F5"/>
    <w:rsid w:val="00507B23"/>
    <w:rsid w:val="00515F56"/>
    <w:rsid w:val="00521C37"/>
    <w:rsid w:val="005235DC"/>
    <w:rsid w:val="0053052A"/>
    <w:rsid w:val="005658DA"/>
    <w:rsid w:val="00591135"/>
    <w:rsid w:val="005A6CCE"/>
    <w:rsid w:val="005B0879"/>
    <w:rsid w:val="005B6BBD"/>
    <w:rsid w:val="005E33F0"/>
    <w:rsid w:val="005F0E66"/>
    <w:rsid w:val="005F391B"/>
    <w:rsid w:val="00611D14"/>
    <w:rsid w:val="0062211C"/>
    <w:rsid w:val="00624E0E"/>
    <w:rsid w:val="00637B99"/>
    <w:rsid w:val="00665A27"/>
    <w:rsid w:val="00674FCE"/>
    <w:rsid w:val="006914B3"/>
    <w:rsid w:val="006B01CE"/>
    <w:rsid w:val="006D0C9F"/>
    <w:rsid w:val="006D1388"/>
    <w:rsid w:val="006D575B"/>
    <w:rsid w:val="006D7170"/>
    <w:rsid w:val="006E2E8A"/>
    <w:rsid w:val="006E330E"/>
    <w:rsid w:val="007115BF"/>
    <w:rsid w:val="00731F3E"/>
    <w:rsid w:val="007409BD"/>
    <w:rsid w:val="0078574A"/>
    <w:rsid w:val="0079751C"/>
    <w:rsid w:val="007A4E48"/>
    <w:rsid w:val="007B06BE"/>
    <w:rsid w:val="007B61E3"/>
    <w:rsid w:val="007E37B0"/>
    <w:rsid w:val="007F0557"/>
    <w:rsid w:val="007F1E39"/>
    <w:rsid w:val="007F2796"/>
    <w:rsid w:val="007F6C94"/>
    <w:rsid w:val="00816795"/>
    <w:rsid w:val="008303B4"/>
    <w:rsid w:val="00837BFB"/>
    <w:rsid w:val="008453BF"/>
    <w:rsid w:val="008562E3"/>
    <w:rsid w:val="008601D8"/>
    <w:rsid w:val="0086339D"/>
    <w:rsid w:val="008B2BC1"/>
    <w:rsid w:val="008B323F"/>
    <w:rsid w:val="008D259B"/>
    <w:rsid w:val="008D7FA2"/>
    <w:rsid w:val="00935BBC"/>
    <w:rsid w:val="0094207B"/>
    <w:rsid w:val="00947AB8"/>
    <w:rsid w:val="00953285"/>
    <w:rsid w:val="009566CC"/>
    <w:rsid w:val="009868ED"/>
    <w:rsid w:val="009A0210"/>
    <w:rsid w:val="009C0511"/>
    <w:rsid w:val="009D0206"/>
    <w:rsid w:val="00A06A54"/>
    <w:rsid w:val="00A14192"/>
    <w:rsid w:val="00A206B8"/>
    <w:rsid w:val="00A31560"/>
    <w:rsid w:val="00A31A23"/>
    <w:rsid w:val="00A367F4"/>
    <w:rsid w:val="00A432C5"/>
    <w:rsid w:val="00A45426"/>
    <w:rsid w:val="00A57201"/>
    <w:rsid w:val="00A7576E"/>
    <w:rsid w:val="00A90CCE"/>
    <w:rsid w:val="00AA10FE"/>
    <w:rsid w:val="00B062D3"/>
    <w:rsid w:val="00B25813"/>
    <w:rsid w:val="00B62509"/>
    <w:rsid w:val="00B75817"/>
    <w:rsid w:val="00B8441F"/>
    <w:rsid w:val="00B97A3A"/>
    <w:rsid w:val="00BA0F70"/>
    <w:rsid w:val="00BA336A"/>
    <w:rsid w:val="00BA52D8"/>
    <w:rsid w:val="00BA60F4"/>
    <w:rsid w:val="00BB1958"/>
    <w:rsid w:val="00BB3BF1"/>
    <w:rsid w:val="00C11513"/>
    <w:rsid w:val="00C25332"/>
    <w:rsid w:val="00C369B6"/>
    <w:rsid w:val="00C41C3D"/>
    <w:rsid w:val="00C500F5"/>
    <w:rsid w:val="00CC14EE"/>
    <w:rsid w:val="00CC6B52"/>
    <w:rsid w:val="00CF6CE0"/>
    <w:rsid w:val="00D11521"/>
    <w:rsid w:val="00D17351"/>
    <w:rsid w:val="00D17447"/>
    <w:rsid w:val="00D2483D"/>
    <w:rsid w:val="00D35982"/>
    <w:rsid w:val="00D600B8"/>
    <w:rsid w:val="00D70F99"/>
    <w:rsid w:val="00DC4672"/>
    <w:rsid w:val="00DD0ED5"/>
    <w:rsid w:val="00DE2811"/>
    <w:rsid w:val="00DF197B"/>
    <w:rsid w:val="00E32277"/>
    <w:rsid w:val="00E33B39"/>
    <w:rsid w:val="00E947C2"/>
    <w:rsid w:val="00EA411B"/>
    <w:rsid w:val="00EE3651"/>
    <w:rsid w:val="00EE5969"/>
    <w:rsid w:val="00F234CE"/>
    <w:rsid w:val="00F24D8A"/>
    <w:rsid w:val="00F317F2"/>
    <w:rsid w:val="00F31D82"/>
    <w:rsid w:val="00F31DD6"/>
    <w:rsid w:val="00F52763"/>
    <w:rsid w:val="00F528F9"/>
    <w:rsid w:val="00F56CCE"/>
    <w:rsid w:val="00F83EB1"/>
    <w:rsid w:val="00F85E77"/>
    <w:rsid w:val="00F941D2"/>
    <w:rsid w:val="00F97A18"/>
    <w:rsid w:val="00FB5754"/>
    <w:rsid w:val="00FF2204"/>
    <w:rsid w:val="00FF4F3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4D4F1-55E6-4261-846B-B109283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0E"/>
    <w:pPr>
      <w:spacing w:after="0" w:line="240" w:lineRule="auto"/>
    </w:pPr>
    <w:rPr>
      <w:rFonts w:ascii="Calibri" w:hAnsi="Calibri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3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Suviniitty Jaana</dc:creator>
  <cp:keywords/>
  <dc:description/>
  <cp:lastModifiedBy>Suviniitty Jaana</cp:lastModifiedBy>
  <cp:revision>1</cp:revision>
  <dcterms:created xsi:type="dcterms:W3CDTF">2018-05-03T14:05:00Z</dcterms:created>
  <dcterms:modified xsi:type="dcterms:W3CDTF">2018-05-03T14:06:00Z</dcterms:modified>
</cp:coreProperties>
</file>