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A847C" w14:textId="77777777" w:rsidR="00572E84" w:rsidRDefault="00146B56" w:rsidP="00572E84">
      <w:r>
        <w:t xml:space="preserve">The page is on landscape orientation because that orientation works better in the </w:t>
      </w:r>
      <w:proofErr w:type="spellStart"/>
      <w:r>
        <w:t>TurnItIn</w:t>
      </w:r>
      <w:proofErr w:type="spellEnd"/>
      <w:r>
        <w:t xml:space="preserve"> online grading tool. Do not change the page orientation.</w:t>
      </w:r>
    </w:p>
    <w:p w14:paraId="04C9722D" w14:textId="77777777" w:rsidR="00146B56" w:rsidRDefault="00146B56" w:rsidP="00572E84"/>
    <w:tbl>
      <w:tblPr>
        <w:tblStyle w:val="TableGrid"/>
        <w:tblW w:w="5000" w:type="pct"/>
        <w:tblLook w:val="04A0" w:firstRow="1" w:lastRow="0" w:firstColumn="1" w:lastColumn="0" w:noHBand="0" w:noVBand="1"/>
      </w:tblPr>
      <w:tblGrid>
        <w:gridCol w:w="1585"/>
        <w:gridCol w:w="3090"/>
        <w:gridCol w:w="3090"/>
        <w:gridCol w:w="3094"/>
        <w:gridCol w:w="3091"/>
      </w:tblGrid>
      <w:tr w:rsidR="00A1325B" w14:paraId="53AA3ED7" w14:textId="77777777" w:rsidTr="00FE36C9">
        <w:trPr>
          <w:tblHeader/>
        </w:trPr>
        <w:tc>
          <w:tcPr>
            <w:tcW w:w="559" w:type="pct"/>
          </w:tcPr>
          <w:p w14:paraId="3F2DD5C1" w14:textId="77777777" w:rsidR="00A1325B" w:rsidRDefault="00A1325B" w:rsidP="00A1325B"/>
        </w:tc>
        <w:tc>
          <w:tcPr>
            <w:tcW w:w="1110" w:type="pct"/>
          </w:tcPr>
          <w:p w14:paraId="5C6E29CC" w14:textId="3633689D" w:rsidR="00A1325B" w:rsidRDefault="00A1325B" w:rsidP="00A1325B">
            <w:r>
              <w:t>What do the authors argue?</w:t>
            </w:r>
            <w:r w:rsidR="009B69C4">
              <w:t xml:space="preserve"> Explain in your own words how you understood the highlighted part.</w:t>
            </w:r>
          </w:p>
        </w:tc>
        <w:tc>
          <w:tcPr>
            <w:tcW w:w="1110" w:type="pct"/>
          </w:tcPr>
          <w:p w14:paraId="09466B67" w14:textId="77777777" w:rsidR="00A1325B" w:rsidRDefault="00A1325B" w:rsidP="00A1325B">
            <w:r>
              <w:t>Does the text present:</w:t>
            </w:r>
          </w:p>
          <w:p w14:paraId="6D92FE4B" w14:textId="77777777" w:rsidR="00A1325B" w:rsidRDefault="00A1325B" w:rsidP="00A1325B">
            <w:pPr>
              <w:pStyle w:val="ListParagraph"/>
              <w:numPr>
                <w:ilvl w:val="0"/>
                <w:numId w:val="1"/>
              </w:numPr>
            </w:pPr>
            <w:r>
              <w:t>A procedure that improves reliability</w:t>
            </w:r>
          </w:p>
          <w:p w14:paraId="3B328612" w14:textId="77777777" w:rsidR="00A1325B" w:rsidRDefault="00A1325B" w:rsidP="00A1325B">
            <w:pPr>
              <w:pStyle w:val="ListParagraph"/>
              <w:numPr>
                <w:ilvl w:val="0"/>
                <w:numId w:val="1"/>
              </w:numPr>
            </w:pPr>
            <w:r>
              <w:t>Empirical evidence of reliability</w:t>
            </w:r>
          </w:p>
          <w:p w14:paraId="1C4E4013" w14:textId="77777777" w:rsidR="00A1325B" w:rsidRDefault="00A1325B" w:rsidP="00A1325B">
            <w:pPr>
              <w:pStyle w:val="ListParagraph"/>
              <w:numPr>
                <w:ilvl w:val="0"/>
                <w:numId w:val="1"/>
              </w:numPr>
            </w:pPr>
            <w:r>
              <w:t>A procedure that improves validity</w:t>
            </w:r>
          </w:p>
          <w:p w14:paraId="00FCE316" w14:textId="77777777" w:rsidR="00A1325B" w:rsidRDefault="00A1325B" w:rsidP="00A1325B">
            <w:pPr>
              <w:pStyle w:val="ListParagraph"/>
              <w:numPr>
                <w:ilvl w:val="0"/>
                <w:numId w:val="1"/>
              </w:numPr>
            </w:pPr>
            <w:r>
              <w:t>Empirical evidence of validity</w:t>
            </w:r>
          </w:p>
          <w:p w14:paraId="00A06FBB" w14:textId="77777777" w:rsidR="00A1325B" w:rsidRDefault="00A1325B" w:rsidP="00A1325B">
            <w:r>
              <w:t>You can choose multiple options. Justify your opinion.</w:t>
            </w:r>
          </w:p>
        </w:tc>
        <w:tc>
          <w:tcPr>
            <w:tcW w:w="1111" w:type="pct"/>
          </w:tcPr>
          <w:p w14:paraId="25EAF6E8" w14:textId="35F70F9A" w:rsidR="00A1325B" w:rsidRDefault="00A1325B" w:rsidP="00A1325B">
            <w:r>
              <w:t xml:space="preserve">What are the key terms that the authors use? Provide definitions </w:t>
            </w:r>
            <w:r w:rsidR="009B69C4">
              <w:t xml:space="preserve">(i.e. quotes) </w:t>
            </w:r>
            <w:r>
              <w:t xml:space="preserve">based on </w:t>
            </w:r>
            <w:proofErr w:type="spellStart"/>
            <w:r>
              <w:t>DeVellis</w:t>
            </w:r>
            <w:proofErr w:type="spellEnd"/>
            <w:r>
              <w:t xml:space="preserve"> and cite page numbers. </w:t>
            </w:r>
          </w:p>
        </w:tc>
        <w:tc>
          <w:tcPr>
            <w:tcW w:w="1110" w:type="pct"/>
          </w:tcPr>
          <w:p w14:paraId="420EFA6F" w14:textId="77777777" w:rsidR="00A1325B" w:rsidRDefault="00A1325B" w:rsidP="00A1325B">
            <w:r>
              <w:t>Do you agree with the authors? Are they using the correct terminology? Justify your opinion.</w:t>
            </w:r>
          </w:p>
        </w:tc>
      </w:tr>
      <w:tr w:rsidR="00572E84" w14:paraId="1CE86C37" w14:textId="77777777" w:rsidTr="00FE36C9">
        <w:tc>
          <w:tcPr>
            <w:tcW w:w="559" w:type="pct"/>
          </w:tcPr>
          <w:p w14:paraId="45399D6A" w14:textId="1D0E0982" w:rsidR="00572E84" w:rsidRDefault="00572E84" w:rsidP="00ED5082">
            <w:r>
              <w:t>1</w:t>
            </w:r>
            <w:r w:rsidR="007B31AF">
              <w:t xml:space="preserve">: </w:t>
            </w:r>
            <w:r w:rsidR="007B31AF" w:rsidRPr="007B31AF">
              <w:t xml:space="preserve">"First, we pretested the survey with 10 executives of young ventures (two per sector) and asked them to closely review the survey. measures). We then revised any potentially confusing items. Following administration of the final survey, we </w:t>
            </w:r>
            <w:r w:rsidR="007B31AF" w:rsidRPr="007B31AF">
              <w:lastRenderedPageBreak/>
              <w:t xml:space="preserve">called a random subset of 20 respondents to see if any problems with the </w:t>
            </w:r>
            <w:proofErr w:type="spellStart"/>
            <w:r w:rsidR="007B31AF" w:rsidRPr="007B31AF">
              <w:t>instrumen</w:t>
            </w:r>
            <w:proofErr w:type="spellEnd"/>
            <w:r w:rsidR="007B31AF" w:rsidRPr="007B31AF">
              <w:t xml:space="preserve"> </w:t>
            </w:r>
            <w:proofErr w:type="spellStart"/>
            <w:proofErr w:type="gramStart"/>
            <w:r w:rsidR="007B31AF" w:rsidRPr="007B31AF">
              <w:t>ptersisted,but</w:t>
            </w:r>
            <w:proofErr w:type="spellEnd"/>
            <w:proofErr w:type="gramEnd"/>
            <w:r w:rsidR="007B31AF" w:rsidRPr="007B31AF">
              <w:t xml:space="preserve"> no problems were revealed"</w:t>
            </w:r>
          </w:p>
        </w:tc>
        <w:tc>
          <w:tcPr>
            <w:tcW w:w="1110" w:type="pct"/>
          </w:tcPr>
          <w:p w14:paraId="4E58C725" w14:textId="77777777" w:rsidR="00572E84" w:rsidRDefault="00572E84" w:rsidP="00ED5082"/>
        </w:tc>
        <w:tc>
          <w:tcPr>
            <w:tcW w:w="1110" w:type="pct"/>
          </w:tcPr>
          <w:p w14:paraId="3EDCB5E7" w14:textId="77777777" w:rsidR="00572E84" w:rsidRDefault="00572E84" w:rsidP="00ED5082"/>
        </w:tc>
        <w:tc>
          <w:tcPr>
            <w:tcW w:w="1111" w:type="pct"/>
          </w:tcPr>
          <w:p w14:paraId="343B2221" w14:textId="77777777" w:rsidR="00572E84" w:rsidRDefault="00572E84" w:rsidP="00ED5082"/>
        </w:tc>
        <w:tc>
          <w:tcPr>
            <w:tcW w:w="1110" w:type="pct"/>
          </w:tcPr>
          <w:p w14:paraId="5B992334" w14:textId="77777777" w:rsidR="00572E84" w:rsidRDefault="00572E84" w:rsidP="00ED5082"/>
        </w:tc>
      </w:tr>
      <w:tr w:rsidR="00572E84" w14:paraId="3B080F7D" w14:textId="77777777" w:rsidTr="00FE36C9">
        <w:tc>
          <w:tcPr>
            <w:tcW w:w="559" w:type="pct"/>
          </w:tcPr>
          <w:p w14:paraId="1B8C4A28" w14:textId="2F91637B" w:rsidR="00572E84" w:rsidRDefault="00572E84" w:rsidP="00ED5082">
            <w:r>
              <w:t>2</w:t>
            </w:r>
            <w:r w:rsidR="007B31AF">
              <w:t>: “</w:t>
            </w:r>
            <w:r w:rsidR="007B31AF" w:rsidRPr="007B31AF">
              <w:t>In the instrument itself, we used previously validated measurement items wherever possible to help ensure</w:t>
            </w:r>
            <w:r w:rsidR="007B31AF">
              <w:t xml:space="preserve"> </w:t>
            </w:r>
            <w:r w:rsidR="007B31AF" w:rsidRPr="007B31AF">
              <w:t>the validity of our measures</w:t>
            </w:r>
            <w:r w:rsidR="007B31AF">
              <w:t>”</w:t>
            </w:r>
          </w:p>
        </w:tc>
        <w:tc>
          <w:tcPr>
            <w:tcW w:w="1110" w:type="pct"/>
          </w:tcPr>
          <w:p w14:paraId="7005A1A4" w14:textId="77777777" w:rsidR="00572E84" w:rsidRDefault="00572E84" w:rsidP="00ED5082"/>
        </w:tc>
        <w:tc>
          <w:tcPr>
            <w:tcW w:w="1110" w:type="pct"/>
          </w:tcPr>
          <w:p w14:paraId="23170ADD" w14:textId="77777777" w:rsidR="00572E84" w:rsidRDefault="00572E84" w:rsidP="00ED5082"/>
        </w:tc>
        <w:tc>
          <w:tcPr>
            <w:tcW w:w="1111" w:type="pct"/>
          </w:tcPr>
          <w:p w14:paraId="4608848B" w14:textId="77777777" w:rsidR="00572E84" w:rsidRDefault="00572E84" w:rsidP="00ED5082"/>
        </w:tc>
        <w:tc>
          <w:tcPr>
            <w:tcW w:w="1110" w:type="pct"/>
          </w:tcPr>
          <w:p w14:paraId="4FD1B48B" w14:textId="77777777" w:rsidR="00572E84" w:rsidRDefault="00572E84" w:rsidP="00ED5082"/>
        </w:tc>
      </w:tr>
      <w:tr w:rsidR="00572E84" w14:paraId="481F0CA5" w14:textId="77777777" w:rsidTr="00FE36C9">
        <w:tc>
          <w:tcPr>
            <w:tcW w:w="559" w:type="pct"/>
          </w:tcPr>
          <w:p w14:paraId="3F4703D4" w14:textId="4DF557CD" w:rsidR="00572E84" w:rsidRDefault="00572E84" w:rsidP="00ED5082">
            <w:r>
              <w:lastRenderedPageBreak/>
              <w:t>3</w:t>
            </w:r>
            <w:r w:rsidR="007B31AF">
              <w:t>: “</w:t>
            </w:r>
            <w:r w:rsidR="007B31AF" w:rsidRPr="007B31AF">
              <w:t>multiple-item measures were used for most constructs to enhance content coverage.</w:t>
            </w:r>
            <w:r w:rsidR="007B31AF">
              <w:t>”</w:t>
            </w:r>
          </w:p>
        </w:tc>
        <w:tc>
          <w:tcPr>
            <w:tcW w:w="1110" w:type="pct"/>
          </w:tcPr>
          <w:p w14:paraId="226AB88E" w14:textId="77777777" w:rsidR="00572E84" w:rsidRDefault="00572E84" w:rsidP="00ED5082"/>
        </w:tc>
        <w:tc>
          <w:tcPr>
            <w:tcW w:w="1110" w:type="pct"/>
          </w:tcPr>
          <w:p w14:paraId="7336DF92" w14:textId="77777777" w:rsidR="00572E84" w:rsidRDefault="00572E84" w:rsidP="00ED5082"/>
        </w:tc>
        <w:tc>
          <w:tcPr>
            <w:tcW w:w="1111" w:type="pct"/>
          </w:tcPr>
          <w:p w14:paraId="1B2BE8E4" w14:textId="77777777" w:rsidR="00572E84" w:rsidRDefault="00572E84" w:rsidP="00ED5082"/>
        </w:tc>
        <w:tc>
          <w:tcPr>
            <w:tcW w:w="1110" w:type="pct"/>
          </w:tcPr>
          <w:p w14:paraId="7E922840" w14:textId="77777777" w:rsidR="00572E84" w:rsidRDefault="00572E84" w:rsidP="00ED5082"/>
        </w:tc>
      </w:tr>
      <w:tr w:rsidR="00572E84" w14:paraId="1A56F3CF" w14:textId="77777777" w:rsidTr="00FE36C9">
        <w:tc>
          <w:tcPr>
            <w:tcW w:w="559" w:type="pct"/>
          </w:tcPr>
          <w:p w14:paraId="0A6BFDB5" w14:textId="77777777" w:rsidR="007B31AF" w:rsidRDefault="00572E84" w:rsidP="007B31AF">
            <w:r>
              <w:t>4</w:t>
            </w:r>
            <w:r w:rsidR="007B31AF">
              <w:t>: “</w:t>
            </w:r>
            <w:r w:rsidR="007B31AF">
              <w:t xml:space="preserve">All of our multiple-item constructs achieved Cronbach alphas of 0.71 or higher, </w:t>
            </w:r>
            <w:proofErr w:type="spellStart"/>
            <w:r w:rsidR="007B31AF">
              <w:t>indi</w:t>
            </w:r>
            <w:proofErr w:type="spellEnd"/>
            <w:r w:rsidR="007B31AF">
              <w:t>-</w:t>
            </w:r>
          </w:p>
          <w:p w14:paraId="6A34F745" w14:textId="6BF0C691" w:rsidR="00572E84" w:rsidRDefault="007B31AF" w:rsidP="007B31AF">
            <w:r>
              <w:t>strong internal consistency.</w:t>
            </w:r>
            <w:r>
              <w:t>”</w:t>
            </w:r>
          </w:p>
        </w:tc>
        <w:tc>
          <w:tcPr>
            <w:tcW w:w="1110" w:type="pct"/>
          </w:tcPr>
          <w:p w14:paraId="0CFF1066" w14:textId="77777777" w:rsidR="00572E84" w:rsidRDefault="00572E84" w:rsidP="00ED5082"/>
        </w:tc>
        <w:tc>
          <w:tcPr>
            <w:tcW w:w="1110" w:type="pct"/>
          </w:tcPr>
          <w:p w14:paraId="3024D5F9" w14:textId="77777777" w:rsidR="00572E84" w:rsidRDefault="00572E84" w:rsidP="00ED5082"/>
        </w:tc>
        <w:tc>
          <w:tcPr>
            <w:tcW w:w="1111" w:type="pct"/>
          </w:tcPr>
          <w:p w14:paraId="10317EC9" w14:textId="77777777" w:rsidR="00572E84" w:rsidRDefault="00572E84" w:rsidP="00ED5082"/>
        </w:tc>
        <w:tc>
          <w:tcPr>
            <w:tcW w:w="1110" w:type="pct"/>
          </w:tcPr>
          <w:p w14:paraId="55D9A9E1" w14:textId="77777777" w:rsidR="00572E84" w:rsidRDefault="00572E84" w:rsidP="00ED5082"/>
        </w:tc>
      </w:tr>
      <w:tr w:rsidR="007B31AF" w14:paraId="3F696A8C" w14:textId="77777777" w:rsidTr="00FE36C9">
        <w:tc>
          <w:tcPr>
            <w:tcW w:w="559" w:type="pct"/>
          </w:tcPr>
          <w:p w14:paraId="6B484208" w14:textId="00A1852F" w:rsidR="007B31AF" w:rsidRDefault="007B31AF" w:rsidP="00ED5082">
            <w:r>
              <w:t>5: “</w:t>
            </w:r>
            <w:r w:rsidRPr="007B31AF">
              <w:t xml:space="preserve">We reduced the potential for common </w:t>
            </w:r>
            <w:r w:rsidRPr="007B31AF">
              <w:lastRenderedPageBreak/>
              <w:t>method problems by employing previously validated measures (Spector,1987). We examined the possibility of common method variance via Harman's one-factor test for all variables in the study (Podsakoff and Organ, 1986).</w:t>
            </w:r>
            <w:r>
              <w:t>”</w:t>
            </w:r>
          </w:p>
        </w:tc>
        <w:tc>
          <w:tcPr>
            <w:tcW w:w="1110" w:type="pct"/>
          </w:tcPr>
          <w:p w14:paraId="4E1A2BAF" w14:textId="77777777" w:rsidR="007B31AF" w:rsidRDefault="007B31AF" w:rsidP="00ED5082"/>
        </w:tc>
        <w:tc>
          <w:tcPr>
            <w:tcW w:w="1110" w:type="pct"/>
          </w:tcPr>
          <w:p w14:paraId="5D0ABF4D" w14:textId="77777777" w:rsidR="007B31AF" w:rsidRDefault="007B31AF" w:rsidP="00ED5082"/>
        </w:tc>
        <w:tc>
          <w:tcPr>
            <w:tcW w:w="1111" w:type="pct"/>
          </w:tcPr>
          <w:p w14:paraId="0059C7F1" w14:textId="77777777" w:rsidR="007B31AF" w:rsidRDefault="007B31AF" w:rsidP="00ED5082"/>
        </w:tc>
        <w:tc>
          <w:tcPr>
            <w:tcW w:w="1110" w:type="pct"/>
          </w:tcPr>
          <w:p w14:paraId="0F58094C" w14:textId="77777777" w:rsidR="007B31AF" w:rsidRDefault="007B31AF" w:rsidP="00ED5082"/>
        </w:tc>
      </w:tr>
      <w:tr w:rsidR="00FE36C9" w14:paraId="6ED9F625" w14:textId="77777777" w:rsidTr="00FE36C9">
        <w:tc>
          <w:tcPr>
            <w:tcW w:w="559" w:type="pct"/>
          </w:tcPr>
          <w:p w14:paraId="4EF65438" w14:textId="70D57090" w:rsidR="00FE36C9" w:rsidRDefault="00FE36C9" w:rsidP="00ED5082">
            <w:r>
              <w:t>6: “</w:t>
            </w:r>
            <w:r w:rsidRPr="00FE36C9">
              <w:t xml:space="preserve">We sought to ensure reliability and </w:t>
            </w:r>
            <w:r w:rsidRPr="00FE36C9">
              <w:lastRenderedPageBreak/>
              <w:t>validity by using multiple, time-variant measures of our constructs.</w:t>
            </w:r>
            <w:r>
              <w:t>”</w:t>
            </w:r>
          </w:p>
        </w:tc>
        <w:tc>
          <w:tcPr>
            <w:tcW w:w="1110" w:type="pct"/>
          </w:tcPr>
          <w:p w14:paraId="5B09DA29" w14:textId="77777777" w:rsidR="00FE36C9" w:rsidRDefault="00FE36C9" w:rsidP="00ED5082"/>
        </w:tc>
        <w:tc>
          <w:tcPr>
            <w:tcW w:w="1110" w:type="pct"/>
          </w:tcPr>
          <w:p w14:paraId="24032D5D" w14:textId="77777777" w:rsidR="00FE36C9" w:rsidRDefault="00FE36C9" w:rsidP="00ED5082"/>
        </w:tc>
        <w:tc>
          <w:tcPr>
            <w:tcW w:w="1111" w:type="pct"/>
          </w:tcPr>
          <w:p w14:paraId="28F013CA" w14:textId="77777777" w:rsidR="00FE36C9" w:rsidRDefault="00FE36C9" w:rsidP="00ED5082"/>
        </w:tc>
        <w:tc>
          <w:tcPr>
            <w:tcW w:w="1110" w:type="pct"/>
          </w:tcPr>
          <w:p w14:paraId="1D33FF68" w14:textId="77777777" w:rsidR="00FE36C9" w:rsidRDefault="00FE36C9" w:rsidP="00ED5082"/>
        </w:tc>
      </w:tr>
      <w:tr w:rsidR="00572E84" w14:paraId="279356BA" w14:textId="77777777" w:rsidTr="00FE36C9">
        <w:tc>
          <w:tcPr>
            <w:tcW w:w="559" w:type="pct"/>
          </w:tcPr>
          <w:p w14:paraId="14D4023A" w14:textId="4FC89D7F" w:rsidR="00572E84" w:rsidRDefault="00FE36C9" w:rsidP="00ED5082">
            <w:r>
              <w:t>7</w:t>
            </w:r>
            <w:r w:rsidR="007B31AF">
              <w:t>: “</w:t>
            </w:r>
            <w:r w:rsidR="007B31AF" w:rsidRPr="007B31AF">
              <w:t xml:space="preserve">All the validation items correlate significantly with the original measures (correlations ranging from 0.31 to 0.57). Such consistency of responses after a 2-year time period </w:t>
            </w:r>
            <w:r w:rsidR="007B31AF" w:rsidRPr="007B31AF">
              <w:lastRenderedPageBreak/>
              <w:t>provides further</w:t>
            </w:r>
            <w:r w:rsidR="007B31AF">
              <w:t xml:space="preserve"> </w:t>
            </w:r>
            <w:r w:rsidR="007B31AF" w:rsidRPr="007B31AF">
              <w:t>evidence of the reliability</w:t>
            </w:r>
            <w:r w:rsidR="007B31AF">
              <w:t xml:space="preserve"> </w:t>
            </w:r>
            <w:r w:rsidR="007B31AF" w:rsidRPr="007B31AF">
              <w:t>of our data and the validity</w:t>
            </w:r>
            <w:r w:rsidR="007B31AF">
              <w:t xml:space="preserve"> </w:t>
            </w:r>
            <w:r w:rsidR="007B31AF" w:rsidRPr="007B31AF">
              <w:t>of our measures</w:t>
            </w:r>
            <w:r w:rsidR="007B31AF">
              <w:t>”</w:t>
            </w:r>
          </w:p>
        </w:tc>
        <w:tc>
          <w:tcPr>
            <w:tcW w:w="1110" w:type="pct"/>
          </w:tcPr>
          <w:p w14:paraId="24661D20" w14:textId="77777777" w:rsidR="00572E84" w:rsidRDefault="00572E84" w:rsidP="00ED5082"/>
        </w:tc>
        <w:tc>
          <w:tcPr>
            <w:tcW w:w="1110" w:type="pct"/>
          </w:tcPr>
          <w:p w14:paraId="7C7814FC" w14:textId="77777777" w:rsidR="00572E84" w:rsidRDefault="00572E84" w:rsidP="00ED5082"/>
        </w:tc>
        <w:tc>
          <w:tcPr>
            <w:tcW w:w="1111" w:type="pct"/>
          </w:tcPr>
          <w:p w14:paraId="25CA08E0" w14:textId="77777777" w:rsidR="00572E84" w:rsidRDefault="00572E84" w:rsidP="00ED5082"/>
        </w:tc>
        <w:tc>
          <w:tcPr>
            <w:tcW w:w="1110" w:type="pct"/>
          </w:tcPr>
          <w:p w14:paraId="52C340A2" w14:textId="77777777" w:rsidR="00572E84" w:rsidRDefault="00572E84" w:rsidP="00ED5082"/>
        </w:tc>
      </w:tr>
      <w:tr w:rsidR="00572E84" w14:paraId="1DF474FE" w14:textId="77777777" w:rsidTr="00FE36C9">
        <w:tc>
          <w:tcPr>
            <w:tcW w:w="559" w:type="pct"/>
          </w:tcPr>
          <w:p w14:paraId="5A72E92C" w14:textId="306B8BB6" w:rsidR="00572E84" w:rsidRDefault="00FE36C9" w:rsidP="00ED5082">
            <w:r>
              <w:t>8</w:t>
            </w:r>
            <w:r w:rsidR="007B31AF">
              <w:t>: “</w:t>
            </w:r>
            <w:r w:rsidR="007B31AF" w:rsidRPr="007B31AF">
              <w:t>In order to assess the predictive</w:t>
            </w:r>
            <w:r>
              <w:t xml:space="preserve"> </w:t>
            </w:r>
            <w:r w:rsidR="007B31AF" w:rsidRPr="007B31AF">
              <w:t xml:space="preserve">validity of our measure, we examined its relationship with sales growth, from 1996 to 2000, based on the logic that some sales benefits might accrue to </w:t>
            </w:r>
            <w:r w:rsidR="007B31AF" w:rsidRPr="007B31AF">
              <w:lastRenderedPageBreak/>
              <w:t>products developed for the key customer, even if such a relationship would be somewhat weak.</w:t>
            </w:r>
            <w:r w:rsidR="007B31AF">
              <w:t>”</w:t>
            </w:r>
          </w:p>
        </w:tc>
        <w:tc>
          <w:tcPr>
            <w:tcW w:w="1110" w:type="pct"/>
          </w:tcPr>
          <w:p w14:paraId="05682164" w14:textId="77777777" w:rsidR="00572E84" w:rsidRDefault="00572E84" w:rsidP="00ED5082"/>
        </w:tc>
        <w:tc>
          <w:tcPr>
            <w:tcW w:w="1110" w:type="pct"/>
          </w:tcPr>
          <w:p w14:paraId="06D5BC18" w14:textId="77777777" w:rsidR="00572E84" w:rsidRDefault="00572E84" w:rsidP="00ED5082"/>
        </w:tc>
        <w:tc>
          <w:tcPr>
            <w:tcW w:w="1111" w:type="pct"/>
          </w:tcPr>
          <w:p w14:paraId="509D9220" w14:textId="77777777" w:rsidR="00572E84" w:rsidRDefault="00572E84" w:rsidP="00ED5082"/>
        </w:tc>
        <w:tc>
          <w:tcPr>
            <w:tcW w:w="1110" w:type="pct"/>
          </w:tcPr>
          <w:p w14:paraId="47FBB250" w14:textId="77777777" w:rsidR="00572E84" w:rsidRDefault="00572E84" w:rsidP="00ED5082"/>
        </w:tc>
      </w:tr>
      <w:tr w:rsidR="00572E84" w14:paraId="5B8EF63E" w14:textId="77777777" w:rsidTr="00FE36C9">
        <w:tc>
          <w:tcPr>
            <w:tcW w:w="559" w:type="pct"/>
          </w:tcPr>
          <w:p w14:paraId="4638E427" w14:textId="0A6885F5" w:rsidR="00572E84" w:rsidRDefault="00FE36C9" w:rsidP="00ED5082">
            <w:r>
              <w:t>9</w:t>
            </w:r>
            <w:r w:rsidR="007B31AF">
              <w:t>: “</w:t>
            </w:r>
            <w:r w:rsidR="007B31AF" w:rsidRPr="007B31AF">
              <w:t xml:space="preserve">we expected sample firms to generally perceive themselves as having technology as a source of competitive advantage; therefore, the </w:t>
            </w:r>
            <w:r w:rsidR="007B31AF" w:rsidRPr="007B31AF">
              <w:lastRenderedPageBreak/>
              <w:t>relatively high mean on the variable (4.83 on a 7-point scale) suggests some degree of face validity.</w:t>
            </w:r>
            <w:r w:rsidR="007B31AF">
              <w:t>”</w:t>
            </w:r>
          </w:p>
        </w:tc>
        <w:tc>
          <w:tcPr>
            <w:tcW w:w="1110" w:type="pct"/>
          </w:tcPr>
          <w:p w14:paraId="0F9588A2" w14:textId="77777777" w:rsidR="00572E84" w:rsidRDefault="00572E84" w:rsidP="00ED5082"/>
        </w:tc>
        <w:tc>
          <w:tcPr>
            <w:tcW w:w="1110" w:type="pct"/>
          </w:tcPr>
          <w:p w14:paraId="76A767DE" w14:textId="77777777" w:rsidR="00572E84" w:rsidRDefault="00572E84" w:rsidP="00ED5082"/>
        </w:tc>
        <w:tc>
          <w:tcPr>
            <w:tcW w:w="1111" w:type="pct"/>
          </w:tcPr>
          <w:p w14:paraId="0F48B89F" w14:textId="77777777" w:rsidR="00572E84" w:rsidRDefault="00572E84" w:rsidP="00ED5082"/>
        </w:tc>
        <w:tc>
          <w:tcPr>
            <w:tcW w:w="1110" w:type="pct"/>
          </w:tcPr>
          <w:p w14:paraId="73DF60BC" w14:textId="77777777" w:rsidR="00572E84" w:rsidRDefault="00572E84" w:rsidP="00ED5082"/>
        </w:tc>
      </w:tr>
      <w:tr w:rsidR="00572E84" w14:paraId="1B2CD8B0" w14:textId="77777777" w:rsidTr="00FE36C9">
        <w:tc>
          <w:tcPr>
            <w:tcW w:w="559" w:type="pct"/>
          </w:tcPr>
          <w:p w14:paraId="1689A2BC" w14:textId="1CF389A2" w:rsidR="00572E84" w:rsidRDefault="00FE36C9" w:rsidP="00ED5082">
            <w:r>
              <w:t>10</w:t>
            </w:r>
            <w:r w:rsidR="007B31AF">
              <w:t xml:space="preserve">: </w:t>
            </w:r>
            <w:r>
              <w:t>“</w:t>
            </w:r>
            <w:r w:rsidR="007B31AF" w:rsidRPr="007B31AF">
              <w:t xml:space="preserve">To explore the relationship further, we regressed the number of patents on technological distinctiveness, while controlling for firm age, size, and industry, and found </w:t>
            </w:r>
            <w:r w:rsidR="007B31AF" w:rsidRPr="007B31AF">
              <w:lastRenderedPageBreak/>
              <w:t>technological distinctiveness positively related to the number of patents (b = 0.36, p &lt;0.001). This strong relationship provides evidence of the external validity of our technological distinctiveness construct.</w:t>
            </w:r>
            <w:r>
              <w:t>”</w:t>
            </w:r>
          </w:p>
        </w:tc>
        <w:tc>
          <w:tcPr>
            <w:tcW w:w="1110" w:type="pct"/>
          </w:tcPr>
          <w:p w14:paraId="3934C397" w14:textId="77777777" w:rsidR="00572E84" w:rsidRDefault="00572E84" w:rsidP="00ED5082"/>
        </w:tc>
        <w:tc>
          <w:tcPr>
            <w:tcW w:w="1110" w:type="pct"/>
          </w:tcPr>
          <w:p w14:paraId="384041A9" w14:textId="77777777" w:rsidR="00572E84" w:rsidRDefault="00572E84" w:rsidP="00ED5082"/>
        </w:tc>
        <w:tc>
          <w:tcPr>
            <w:tcW w:w="1111" w:type="pct"/>
          </w:tcPr>
          <w:p w14:paraId="1423C704" w14:textId="77777777" w:rsidR="00572E84" w:rsidRDefault="00572E84" w:rsidP="00ED5082"/>
        </w:tc>
        <w:tc>
          <w:tcPr>
            <w:tcW w:w="1110" w:type="pct"/>
          </w:tcPr>
          <w:p w14:paraId="3B969708" w14:textId="77777777" w:rsidR="00572E84" w:rsidRDefault="00572E84" w:rsidP="00ED5082"/>
        </w:tc>
      </w:tr>
      <w:tr w:rsidR="00572E84" w14:paraId="5DCC370E" w14:textId="77777777" w:rsidTr="00FE36C9">
        <w:tc>
          <w:tcPr>
            <w:tcW w:w="559" w:type="pct"/>
          </w:tcPr>
          <w:p w14:paraId="680165AF" w14:textId="2E2A7BFF" w:rsidR="00572E84" w:rsidRDefault="00572E84" w:rsidP="00ED5082">
            <w:r>
              <w:t>11</w:t>
            </w:r>
            <w:r w:rsidR="00FE36C9">
              <w:t>: “</w:t>
            </w:r>
            <w:r w:rsidR="00FE36C9" w:rsidRPr="00FE36C9">
              <w:t xml:space="preserve">The standardized factor loadings are all above </w:t>
            </w:r>
            <w:r w:rsidR="00FE36C9" w:rsidRPr="00FE36C9">
              <w:lastRenderedPageBreak/>
              <w:t>0.57 (recommended minimum in the social sciences is usually0.40 (Ford, McCallum, and Tait, 1986)).</w:t>
            </w:r>
            <w:r w:rsidR="00FE36C9">
              <w:t>”</w:t>
            </w:r>
          </w:p>
        </w:tc>
        <w:tc>
          <w:tcPr>
            <w:tcW w:w="1110" w:type="pct"/>
          </w:tcPr>
          <w:p w14:paraId="18A6C83D" w14:textId="77777777" w:rsidR="00572E84" w:rsidRDefault="00572E84" w:rsidP="00ED5082"/>
        </w:tc>
        <w:tc>
          <w:tcPr>
            <w:tcW w:w="1110" w:type="pct"/>
          </w:tcPr>
          <w:p w14:paraId="515C8195" w14:textId="77777777" w:rsidR="00572E84" w:rsidRDefault="00572E84" w:rsidP="00ED5082"/>
        </w:tc>
        <w:tc>
          <w:tcPr>
            <w:tcW w:w="1111" w:type="pct"/>
          </w:tcPr>
          <w:p w14:paraId="64E41E86" w14:textId="77777777" w:rsidR="00572E84" w:rsidRDefault="00572E84" w:rsidP="00ED5082"/>
        </w:tc>
        <w:tc>
          <w:tcPr>
            <w:tcW w:w="1110" w:type="pct"/>
          </w:tcPr>
          <w:p w14:paraId="1E73DC04" w14:textId="77777777" w:rsidR="00572E84" w:rsidRDefault="00572E84" w:rsidP="00ED5082"/>
        </w:tc>
      </w:tr>
      <w:tr w:rsidR="00572E84" w14:paraId="79AAF35D" w14:textId="77777777" w:rsidTr="00FE36C9">
        <w:tc>
          <w:tcPr>
            <w:tcW w:w="559" w:type="pct"/>
          </w:tcPr>
          <w:p w14:paraId="7E68F75D" w14:textId="2C33FA66" w:rsidR="00572E84" w:rsidRDefault="00572E84" w:rsidP="00ED5082">
            <w:r>
              <w:t>12</w:t>
            </w:r>
            <w:r w:rsidR="00FE36C9">
              <w:t>: “</w:t>
            </w:r>
            <w:r w:rsidR="00FE36C9" w:rsidRPr="00FE36C9">
              <w:t xml:space="preserve">The composite reliabilities, analogous to Cronbach </w:t>
            </w:r>
            <w:proofErr w:type="spellStart"/>
            <w:r w:rsidR="00FE36C9" w:rsidRPr="00FE36C9">
              <w:t>alphav</w:t>
            </w:r>
            <w:proofErr w:type="spellEnd"/>
            <w:r w:rsidR="00FE36C9" w:rsidRPr="00FE36C9">
              <w:t xml:space="preserve"> </w:t>
            </w:r>
            <w:proofErr w:type="spellStart"/>
            <w:r w:rsidR="00FE36C9" w:rsidRPr="00FE36C9">
              <w:t>alues</w:t>
            </w:r>
            <w:proofErr w:type="spellEnd"/>
            <w:r w:rsidR="00FE36C9" w:rsidRPr="00FE36C9">
              <w:t>, are all above the recommended minimum of 0.70.</w:t>
            </w:r>
            <w:r w:rsidR="00FE36C9">
              <w:t>”</w:t>
            </w:r>
          </w:p>
        </w:tc>
        <w:tc>
          <w:tcPr>
            <w:tcW w:w="1110" w:type="pct"/>
          </w:tcPr>
          <w:p w14:paraId="1BE69E7A" w14:textId="77777777" w:rsidR="00572E84" w:rsidRDefault="00572E84" w:rsidP="00ED5082"/>
        </w:tc>
        <w:tc>
          <w:tcPr>
            <w:tcW w:w="1110" w:type="pct"/>
          </w:tcPr>
          <w:p w14:paraId="795A732D" w14:textId="77777777" w:rsidR="00572E84" w:rsidRDefault="00572E84" w:rsidP="00ED5082"/>
        </w:tc>
        <w:tc>
          <w:tcPr>
            <w:tcW w:w="1111" w:type="pct"/>
          </w:tcPr>
          <w:p w14:paraId="1E0182C8" w14:textId="77777777" w:rsidR="00572E84" w:rsidRDefault="00572E84" w:rsidP="00ED5082"/>
        </w:tc>
        <w:tc>
          <w:tcPr>
            <w:tcW w:w="1110" w:type="pct"/>
          </w:tcPr>
          <w:p w14:paraId="3B02E8D4" w14:textId="77777777" w:rsidR="00572E84" w:rsidRDefault="00572E84" w:rsidP="00ED5082"/>
        </w:tc>
      </w:tr>
      <w:tr w:rsidR="00572E84" w14:paraId="2E0994AB" w14:textId="77777777" w:rsidTr="00FE36C9">
        <w:tc>
          <w:tcPr>
            <w:tcW w:w="559" w:type="pct"/>
          </w:tcPr>
          <w:p w14:paraId="2E473BA2" w14:textId="4764B849" w:rsidR="00572E84" w:rsidRDefault="00572E84" w:rsidP="00ED5082">
            <w:r>
              <w:t>13</w:t>
            </w:r>
            <w:r w:rsidR="00FE36C9">
              <w:t>: “</w:t>
            </w:r>
            <w:r w:rsidR="00FE36C9" w:rsidRPr="00FE36C9">
              <w:t xml:space="preserve">The </w:t>
            </w:r>
            <w:r w:rsidR="00FE36C9" w:rsidRPr="00FE36C9">
              <w:lastRenderedPageBreak/>
              <w:t>average variances extracted range from 0.49 to 0.76 (recommended minimum 0.50 (</w:t>
            </w:r>
            <w:proofErr w:type="spellStart"/>
            <w:r w:rsidR="00FE36C9" w:rsidRPr="00FE36C9">
              <w:t>Fornell</w:t>
            </w:r>
            <w:proofErr w:type="spellEnd"/>
            <w:r w:rsidR="00FE36C9" w:rsidRPr="00FE36C9">
              <w:t xml:space="preserve"> and </w:t>
            </w:r>
            <w:proofErr w:type="spellStart"/>
            <w:r w:rsidR="00FE36C9" w:rsidRPr="00FE36C9">
              <w:t>Larcker</w:t>
            </w:r>
            <w:proofErr w:type="spellEnd"/>
            <w:r w:rsidR="00FE36C9" w:rsidRPr="00FE36C9">
              <w:t>, 1981)).</w:t>
            </w:r>
            <w:r w:rsidR="00FE36C9">
              <w:t>”</w:t>
            </w:r>
          </w:p>
        </w:tc>
        <w:tc>
          <w:tcPr>
            <w:tcW w:w="1110" w:type="pct"/>
          </w:tcPr>
          <w:p w14:paraId="7DC791A3" w14:textId="77777777" w:rsidR="00572E84" w:rsidRDefault="00572E84" w:rsidP="00ED5082"/>
        </w:tc>
        <w:tc>
          <w:tcPr>
            <w:tcW w:w="1110" w:type="pct"/>
          </w:tcPr>
          <w:p w14:paraId="6C2B079C" w14:textId="77777777" w:rsidR="00572E84" w:rsidRDefault="00572E84" w:rsidP="00ED5082"/>
        </w:tc>
        <w:tc>
          <w:tcPr>
            <w:tcW w:w="1111" w:type="pct"/>
          </w:tcPr>
          <w:p w14:paraId="49CFCD01" w14:textId="77777777" w:rsidR="00572E84" w:rsidRDefault="00572E84" w:rsidP="00ED5082"/>
        </w:tc>
        <w:tc>
          <w:tcPr>
            <w:tcW w:w="1110" w:type="pct"/>
          </w:tcPr>
          <w:p w14:paraId="43F87767" w14:textId="77777777" w:rsidR="00572E84" w:rsidRDefault="00572E84" w:rsidP="00ED5082"/>
        </w:tc>
      </w:tr>
      <w:tr w:rsidR="00572E84" w14:paraId="7F40F483" w14:textId="77777777" w:rsidTr="00FE36C9">
        <w:tc>
          <w:tcPr>
            <w:tcW w:w="559" w:type="pct"/>
          </w:tcPr>
          <w:p w14:paraId="40992D54" w14:textId="2F43F342" w:rsidR="00572E84" w:rsidRDefault="00572E84" w:rsidP="00ED5082">
            <w:r>
              <w:t>14</w:t>
            </w:r>
            <w:r w:rsidR="00FE36C9">
              <w:t>: “</w:t>
            </w:r>
            <w:r w:rsidR="00FE36C9" w:rsidRPr="00FE36C9">
              <w:t xml:space="preserve">The measurement model can be used to evaluate discriminant validity. Constructs demonstrate discriminant validity if the </w:t>
            </w:r>
            <w:r w:rsidR="00FE36C9" w:rsidRPr="00FE36C9">
              <w:lastRenderedPageBreak/>
              <w:t>variance extracted for each is higher than the squared correlation between the constructs (</w:t>
            </w:r>
            <w:proofErr w:type="spellStart"/>
            <w:r w:rsidR="00FE36C9" w:rsidRPr="00FE36C9">
              <w:t>Fornell</w:t>
            </w:r>
            <w:proofErr w:type="spellEnd"/>
            <w:r w:rsidR="00FE36C9" w:rsidRPr="00FE36C9">
              <w:t xml:space="preserve"> and </w:t>
            </w:r>
            <w:proofErr w:type="spellStart"/>
            <w:r w:rsidR="00FE36C9" w:rsidRPr="00FE36C9">
              <w:t>Larcker</w:t>
            </w:r>
            <w:proofErr w:type="spellEnd"/>
            <w:r w:rsidR="00FE36C9" w:rsidRPr="00FE36C9">
              <w:t>, 1981).</w:t>
            </w:r>
            <w:r w:rsidR="00FE36C9">
              <w:t>”</w:t>
            </w:r>
          </w:p>
        </w:tc>
        <w:tc>
          <w:tcPr>
            <w:tcW w:w="1110" w:type="pct"/>
          </w:tcPr>
          <w:p w14:paraId="4F6CB4C0" w14:textId="77777777" w:rsidR="00572E84" w:rsidRDefault="00572E84" w:rsidP="00ED5082"/>
        </w:tc>
        <w:tc>
          <w:tcPr>
            <w:tcW w:w="1110" w:type="pct"/>
          </w:tcPr>
          <w:p w14:paraId="185EFD4C" w14:textId="77777777" w:rsidR="00572E84" w:rsidRDefault="00572E84" w:rsidP="00ED5082"/>
        </w:tc>
        <w:tc>
          <w:tcPr>
            <w:tcW w:w="1111" w:type="pct"/>
          </w:tcPr>
          <w:p w14:paraId="0F281465" w14:textId="77777777" w:rsidR="00572E84" w:rsidRDefault="00572E84" w:rsidP="00ED5082"/>
        </w:tc>
        <w:tc>
          <w:tcPr>
            <w:tcW w:w="1110" w:type="pct"/>
          </w:tcPr>
          <w:p w14:paraId="0FA31A9F" w14:textId="77777777" w:rsidR="00572E84" w:rsidRDefault="00572E84" w:rsidP="00ED5082"/>
        </w:tc>
      </w:tr>
      <w:tr w:rsidR="00572E84" w14:paraId="3C2FCD1E" w14:textId="77777777" w:rsidTr="00FE36C9">
        <w:tc>
          <w:tcPr>
            <w:tcW w:w="559" w:type="pct"/>
          </w:tcPr>
          <w:p w14:paraId="79F152FA" w14:textId="3E747495" w:rsidR="00572E84" w:rsidRDefault="00572E84" w:rsidP="00ED5082">
            <w:r>
              <w:t>15</w:t>
            </w:r>
            <w:r w:rsidR="00FE36C9">
              <w:t>: “</w:t>
            </w:r>
            <w:r w:rsidR="00FE36C9" w:rsidRPr="00FE36C9">
              <w:t xml:space="preserve">Convergent validity is also evident: positive correlation sexist among the three social capital constructs, as </w:t>
            </w:r>
            <w:r w:rsidR="00FE36C9" w:rsidRPr="00FE36C9">
              <w:lastRenderedPageBreak/>
              <w:t>is expected for constructs representing different dimensions of the same underlying concept.</w:t>
            </w:r>
            <w:bookmarkStart w:id="0" w:name="_GoBack"/>
            <w:bookmarkEnd w:id="0"/>
            <w:r w:rsidR="00FE36C9">
              <w:t>”</w:t>
            </w:r>
          </w:p>
        </w:tc>
        <w:tc>
          <w:tcPr>
            <w:tcW w:w="1110" w:type="pct"/>
          </w:tcPr>
          <w:p w14:paraId="3A0937BB" w14:textId="77777777" w:rsidR="00572E84" w:rsidRDefault="00572E84" w:rsidP="00ED5082"/>
        </w:tc>
        <w:tc>
          <w:tcPr>
            <w:tcW w:w="1110" w:type="pct"/>
          </w:tcPr>
          <w:p w14:paraId="0EABE4F7" w14:textId="77777777" w:rsidR="00572E84" w:rsidRDefault="00572E84" w:rsidP="00ED5082"/>
        </w:tc>
        <w:tc>
          <w:tcPr>
            <w:tcW w:w="1111" w:type="pct"/>
          </w:tcPr>
          <w:p w14:paraId="737B9E03" w14:textId="77777777" w:rsidR="00572E84" w:rsidRDefault="00572E84" w:rsidP="00ED5082"/>
        </w:tc>
        <w:tc>
          <w:tcPr>
            <w:tcW w:w="1110" w:type="pct"/>
          </w:tcPr>
          <w:p w14:paraId="6869C176" w14:textId="77777777" w:rsidR="00572E84" w:rsidRDefault="00572E84" w:rsidP="00ED5082"/>
        </w:tc>
      </w:tr>
    </w:tbl>
    <w:p w14:paraId="10DCDE67" w14:textId="77777777" w:rsidR="00572E84" w:rsidRDefault="00572E84" w:rsidP="00572E84">
      <w:pPr>
        <w:spacing w:after="200" w:line="276" w:lineRule="auto"/>
        <w:rPr>
          <w:szCs w:val="22"/>
          <w:lang w:eastAsia="fi-FI"/>
        </w:rPr>
      </w:pPr>
    </w:p>
    <w:p w14:paraId="044CDB7B" w14:textId="77777777" w:rsidR="002E038A" w:rsidRDefault="002E038A"/>
    <w:sectPr w:rsidR="002E038A" w:rsidSect="00572E84">
      <w:pgSz w:w="16840" w:h="1190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82801"/>
    <w:multiLevelType w:val="hybridMultilevel"/>
    <w:tmpl w:val="E8328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84"/>
    <w:rsid w:val="00146B56"/>
    <w:rsid w:val="002E038A"/>
    <w:rsid w:val="00572E84"/>
    <w:rsid w:val="007B31AF"/>
    <w:rsid w:val="009B69C4"/>
    <w:rsid w:val="00A1325B"/>
    <w:rsid w:val="00DB2FD5"/>
    <w:rsid w:val="00ED198A"/>
    <w:rsid w:val="00FE3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4CC25B"/>
  <w14:defaultImageDpi w14:val="300"/>
  <w15:docId w15:val="{F092DE84-DEE4-584A-A497-462EEF52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E84"/>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next w:val="Normal"/>
    <w:qFormat/>
    <w:rsid w:val="00DB2FD5"/>
    <w:rPr>
      <w:rFonts w:ascii="Courier New" w:eastAsiaTheme="minorEastAsia" w:hAnsi="Courier New" w:cstheme="minorBidi"/>
      <w:sz w:val="16"/>
      <w:szCs w:val="16"/>
    </w:rPr>
  </w:style>
  <w:style w:type="table" w:styleId="TableGrid">
    <w:name w:val="Table Grid"/>
    <w:basedOn w:val="TableNormal"/>
    <w:uiPriority w:val="59"/>
    <w:rsid w:val="00572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Rönkkö</dc:creator>
  <cp:keywords/>
  <dc:description/>
  <cp:lastModifiedBy>Rönkkö, Mikko</cp:lastModifiedBy>
  <cp:revision>2</cp:revision>
  <cp:lastPrinted>2015-01-12T09:44:00Z</cp:lastPrinted>
  <dcterms:created xsi:type="dcterms:W3CDTF">2020-03-15T12:11:00Z</dcterms:created>
  <dcterms:modified xsi:type="dcterms:W3CDTF">2020-03-15T12:11:00Z</dcterms:modified>
</cp:coreProperties>
</file>