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5B91" w14:textId="2A11B806" w:rsidR="00532618" w:rsidRPr="00532618" w:rsidRDefault="00532618" w:rsidP="00532618">
      <w:pPr>
        <w:tabs>
          <w:tab w:val="num" w:pos="720"/>
        </w:tabs>
        <w:spacing w:before="100" w:beforeAutospacing="1" w:after="100" w:afterAutospacing="1" w:line="312" w:lineRule="atLeast"/>
        <w:ind w:left="720" w:hanging="360"/>
        <w:rPr>
          <w:sz w:val="28"/>
          <w:szCs w:val="28"/>
        </w:rPr>
      </w:pPr>
      <w:r w:rsidRPr="00532618">
        <w:rPr>
          <w:sz w:val="28"/>
          <w:szCs w:val="28"/>
        </w:rPr>
        <w:t>Chapter 10 Problems</w:t>
      </w:r>
    </w:p>
    <w:p w14:paraId="4FF9A11E" w14:textId="77777777" w:rsidR="00532618" w:rsidRPr="00532618" w:rsidRDefault="00532618" w:rsidP="0053261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a.</w:t>
      </w:r>
    </w:p>
    <w:p w14:paraId="36A6D5BD"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=7.33%</w:t>
      </w:r>
    </w:p>
    <w:p w14:paraId="39628555" w14:textId="77777777" w:rsidR="00532618" w:rsidRPr="00532618" w:rsidRDefault="00532618" w:rsidP="0053261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b.</w:t>
      </w:r>
    </w:p>
    <w:p w14:paraId="13A1E745" w14:textId="77777777" w:rsidR="00532618" w:rsidRPr="00532618" w:rsidRDefault="00532618" w:rsidP="00532618">
      <w:pPr>
        <w:spacing w:after="105" w:line="312" w:lineRule="atLeast"/>
        <w:ind w:left="720"/>
        <w:rPr>
          <w:rFonts w:ascii="Arial" w:eastAsia="Times New Roman" w:hAnsi="Arial" w:cs="Arial"/>
          <w:color w:val="3F3F3F"/>
          <w:sz w:val="24"/>
          <w:szCs w:val="24"/>
        </w:rPr>
      </w:pPr>
      <w:r w:rsidRPr="00532618">
        <w:rPr>
          <w:rFonts w:ascii="Arial" w:eastAsia="Times New Roman" w:hAnsi="Arial" w:cs="Arial"/>
          <w:color w:val="3F3F3F"/>
          <w:sz w:val="24"/>
          <w:szCs w:val="24"/>
        </w:rPr>
        <w:t>re=7.70%</w:t>
      </w:r>
    </w:p>
    <w:p w14:paraId="4532104B" w14:textId="77777777" w:rsidR="00532618" w:rsidRPr="00532618" w:rsidRDefault="00532618" w:rsidP="00532618">
      <w:pPr>
        <w:numPr>
          <w:ilvl w:val="0"/>
          <w:numId w:val="2"/>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10-1</w:t>
      </w:r>
    </w:p>
    <w:p w14:paraId="2CA7D900" w14:textId="0AC74A59"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AFTER-TAX COST OF DEBT</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The Holmes Company’s currently outstanding bonds have an 8% coupon and a 10% yield to maturity. Holmes believes it could issue new bonds at par that would provide a similar yield to maturity. If its marginal tax rate is 40%, what is Holmes’ after-tax cost of debt?</w:t>
      </w:r>
    </w:p>
    <w:p w14:paraId="3E3CA0FA" w14:textId="77777777" w:rsidR="00532618" w:rsidRPr="00532618" w:rsidRDefault="00532618" w:rsidP="00532618">
      <w:pPr>
        <w:numPr>
          <w:ilvl w:val="0"/>
          <w:numId w:val="2"/>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10-2</w:t>
      </w:r>
    </w:p>
    <w:p w14:paraId="36F877B4" w14:textId="1A7BF3D4"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COST OF PREFERRED STOCK</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Torch Industries can issue perpetual preferred stock at a price of $57.00 a share. The stock would pay a constant annual dividend of $6.00 a share. What is the company’s cost of preferred stock, </w:t>
      </w:r>
      <w:proofErr w:type="spellStart"/>
      <w:r w:rsidRPr="00532618">
        <w:rPr>
          <w:rFonts w:ascii="Arial" w:eastAsia="Times New Roman" w:hAnsi="Arial" w:cs="Arial"/>
          <w:color w:val="3F3F3F"/>
          <w:sz w:val="24"/>
          <w:szCs w:val="24"/>
        </w:rPr>
        <w:t>rp</w:t>
      </w:r>
      <w:proofErr w:type="spellEnd"/>
      <w:r w:rsidRPr="00532618">
        <w:rPr>
          <w:rFonts w:ascii="Arial" w:eastAsia="Times New Roman" w:hAnsi="Arial" w:cs="Arial"/>
          <w:color w:val="3F3F3F"/>
          <w:sz w:val="24"/>
          <w:szCs w:val="24"/>
        </w:rPr>
        <w:t>?</w:t>
      </w:r>
    </w:p>
    <w:p w14:paraId="751508E8" w14:textId="77777777" w:rsidR="00532618" w:rsidRPr="00532618" w:rsidRDefault="00532618" w:rsidP="00532618">
      <w:pPr>
        <w:shd w:val="clear" w:color="auto" w:fill="EDF8F6"/>
        <w:spacing w:beforeAutospacing="1" w:after="0" w:afterAutospacing="1" w:line="288" w:lineRule="atLeast"/>
        <w:ind w:left="825"/>
        <w:rPr>
          <w:rFonts w:ascii="Helvetica" w:eastAsia="Times New Roman" w:hAnsi="Helvetica" w:cs="Helvetica"/>
          <w:b/>
          <w:bCs/>
          <w:caps/>
          <w:color w:val="6699FF"/>
          <w:sz w:val="24"/>
          <w:szCs w:val="24"/>
        </w:rPr>
      </w:pPr>
      <w:r w:rsidRPr="00532618">
        <w:rPr>
          <w:rFonts w:ascii="Helvetica" w:eastAsia="Times New Roman" w:hAnsi="Helvetica" w:cs="Helvetica"/>
          <w:b/>
          <w:bCs/>
          <w:caps/>
          <w:color w:val="6699FF"/>
          <w:sz w:val="24"/>
          <w:szCs w:val="24"/>
        </w:rPr>
        <w:t>ANSWER ↓</w:t>
      </w:r>
    </w:p>
    <w:p w14:paraId="4303A84A" w14:textId="77777777" w:rsidR="00532618" w:rsidRPr="00532618" w:rsidRDefault="00532618" w:rsidP="00532618">
      <w:pPr>
        <w:numPr>
          <w:ilvl w:val="0"/>
          <w:numId w:val="2"/>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10-3</w:t>
      </w:r>
    </w:p>
    <w:p w14:paraId="7E5BEA08" w14:textId="2045C809"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COST OF COMMON EQUITY</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Pearson Motors has a target capital structure of 30% debt and 70% common equity, with no preferred stock. The yield to maturity on the company’s outstanding bonds is 9%, and its tax rate is 40%. Pearson’s CFO estimates that the company’s WACC is 10.50%. What is Pearson’s cost of common equity?</w:t>
      </w:r>
    </w:p>
    <w:p w14:paraId="272E3C3B" w14:textId="77777777" w:rsidR="00532618" w:rsidRPr="00532618" w:rsidRDefault="00532618" w:rsidP="00532618">
      <w:pPr>
        <w:numPr>
          <w:ilvl w:val="0"/>
          <w:numId w:val="2"/>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10-4</w:t>
      </w:r>
    </w:p>
    <w:p w14:paraId="33C958B5" w14:textId="3017C7B4"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COST OF EQUITY WITH AND WITHOUT FLOTATION</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 xml:space="preserve">Jarett &amp; </w:t>
      </w:r>
      <w:proofErr w:type="spellStart"/>
      <w:r w:rsidRPr="00532618">
        <w:rPr>
          <w:rFonts w:ascii="Arial" w:eastAsia="Times New Roman" w:hAnsi="Arial" w:cs="Arial"/>
          <w:color w:val="3F3F3F"/>
          <w:sz w:val="24"/>
          <w:szCs w:val="24"/>
        </w:rPr>
        <w:t>Sons’s</w:t>
      </w:r>
      <w:proofErr w:type="spellEnd"/>
      <w:r w:rsidRPr="00532618">
        <w:rPr>
          <w:rFonts w:ascii="Arial" w:eastAsia="Times New Roman" w:hAnsi="Arial" w:cs="Arial"/>
          <w:color w:val="3F3F3F"/>
          <w:sz w:val="24"/>
          <w:szCs w:val="24"/>
        </w:rPr>
        <w:t xml:space="preserve"> common stock currently trades at $30.00 a share. It is expected to pay an annual dividend of $1.00 a share at the end of the year (D1=$1.00), and the constant growth rate is 4% a year.</w:t>
      </w:r>
    </w:p>
    <w:p w14:paraId="4E5CF736" w14:textId="77777777" w:rsidR="00532618" w:rsidRPr="00532618" w:rsidRDefault="00532618" w:rsidP="00532618">
      <w:pPr>
        <w:numPr>
          <w:ilvl w:val="1"/>
          <w:numId w:val="2"/>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What is the company’s cost of common equity if all of its equity comes from retained earnings?</w:t>
      </w:r>
    </w:p>
    <w:p w14:paraId="5F84BC31" w14:textId="29FA202E" w:rsidR="00532618" w:rsidRDefault="00532618" w:rsidP="00532618">
      <w:pPr>
        <w:numPr>
          <w:ilvl w:val="1"/>
          <w:numId w:val="2"/>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If the company issued new stock, it would incur a 10% flotation cost. What would be the cost of equity from new stock?</w:t>
      </w:r>
    </w:p>
    <w:p w14:paraId="7BB13EA1" w14:textId="77777777" w:rsidR="004A13B7" w:rsidRPr="00532618" w:rsidRDefault="004A13B7" w:rsidP="004A13B7">
      <w:pPr>
        <w:spacing w:after="105" w:line="120" w:lineRule="atLeast"/>
        <w:ind w:left="1440"/>
        <w:rPr>
          <w:rFonts w:ascii="Arial" w:eastAsia="Times New Roman" w:hAnsi="Arial" w:cs="Arial"/>
          <w:color w:val="3F3F3F"/>
          <w:sz w:val="24"/>
          <w:szCs w:val="24"/>
        </w:rPr>
      </w:pPr>
    </w:p>
    <w:p w14:paraId="02347B05" w14:textId="77777777" w:rsidR="00532618" w:rsidRPr="00532618" w:rsidRDefault="00532618" w:rsidP="00532618">
      <w:pPr>
        <w:numPr>
          <w:ilvl w:val="0"/>
          <w:numId w:val="2"/>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lastRenderedPageBreak/>
        <w:t>10-5</w:t>
      </w:r>
    </w:p>
    <w:p w14:paraId="326032C7" w14:textId="1B551457"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PROJECT SELECTION</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Midwest Water Works estimates that its WACC is 10.5%. The company is considering the following capital budgeting projects:</w:t>
      </w:r>
    </w:p>
    <w:tbl>
      <w:tblPr>
        <w:tblW w:w="0" w:type="auto"/>
        <w:tblInd w:w="720" w:type="dxa"/>
        <w:tblBorders>
          <w:top w:val="single" w:sz="6" w:space="0" w:color="BFBFBF"/>
          <w:left w:val="single" w:sz="6" w:space="0" w:color="BFBFBF"/>
          <w:bottom w:val="single" w:sz="6" w:space="0" w:color="BFBFBF"/>
          <w:right w:val="single" w:sz="6" w:space="0" w:color="BFBFBF"/>
        </w:tblBorders>
        <w:tblCellMar>
          <w:top w:w="15" w:type="dxa"/>
          <w:left w:w="15" w:type="dxa"/>
          <w:bottom w:w="15" w:type="dxa"/>
          <w:right w:w="15" w:type="dxa"/>
        </w:tblCellMar>
        <w:tblLook w:val="04A0" w:firstRow="1" w:lastRow="0" w:firstColumn="1" w:lastColumn="0" w:noHBand="0" w:noVBand="1"/>
      </w:tblPr>
      <w:tblGrid>
        <w:gridCol w:w="1485"/>
        <w:gridCol w:w="1478"/>
        <w:gridCol w:w="1901"/>
      </w:tblGrid>
      <w:tr w:rsidR="00532618" w:rsidRPr="00532618" w14:paraId="56268C8A" w14:textId="77777777" w:rsidTr="00532618">
        <w:trPr>
          <w:tblHeader/>
        </w:trPr>
        <w:tc>
          <w:tcPr>
            <w:tcW w:w="1485" w:type="dxa"/>
            <w:tcBorders>
              <w:bottom w:val="single" w:sz="6" w:space="0" w:color="BFBFBF"/>
              <w:right w:val="single" w:sz="6" w:space="0" w:color="BFBFBF"/>
            </w:tcBorders>
            <w:shd w:val="clear" w:color="auto" w:fill="E9E9E9"/>
            <w:tcMar>
              <w:top w:w="105" w:type="dxa"/>
              <w:left w:w="45" w:type="dxa"/>
              <w:bottom w:w="105" w:type="dxa"/>
              <w:right w:w="45" w:type="dxa"/>
            </w:tcMar>
            <w:vAlign w:val="center"/>
            <w:hideMark/>
          </w:tcPr>
          <w:p w14:paraId="2F88CC78" w14:textId="77777777" w:rsidR="00532618" w:rsidRPr="00532618" w:rsidRDefault="00532618" w:rsidP="00532618">
            <w:pPr>
              <w:spacing w:after="105" w:line="240" w:lineRule="auto"/>
              <w:jc w:val="center"/>
              <w:rPr>
                <w:rFonts w:ascii="Arial" w:eastAsia="Times New Roman" w:hAnsi="Arial" w:cs="Arial"/>
                <w:b/>
                <w:bCs/>
                <w:color w:val="3F3F3F"/>
                <w:sz w:val="24"/>
                <w:szCs w:val="24"/>
              </w:rPr>
            </w:pPr>
            <w:r w:rsidRPr="00532618">
              <w:rPr>
                <w:rFonts w:ascii="Arial" w:eastAsia="Times New Roman" w:hAnsi="Arial" w:cs="Arial"/>
                <w:b/>
                <w:bCs/>
                <w:color w:val="3F3F3F"/>
                <w:sz w:val="24"/>
                <w:szCs w:val="24"/>
              </w:rPr>
              <w:t>Project</w:t>
            </w:r>
          </w:p>
        </w:tc>
        <w:tc>
          <w:tcPr>
            <w:tcW w:w="1478" w:type="dxa"/>
            <w:tcBorders>
              <w:bottom w:val="single" w:sz="6" w:space="0" w:color="BFBFBF"/>
              <w:right w:val="single" w:sz="6" w:space="0" w:color="BFBFBF"/>
            </w:tcBorders>
            <w:shd w:val="clear" w:color="auto" w:fill="E9E9E9"/>
            <w:tcMar>
              <w:top w:w="105" w:type="dxa"/>
              <w:left w:w="45" w:type="dxa"/>
              <w:bottom w:w="105" w:type="dxa"/>
              <w:right w:w="45" w:type="dxa"/>
            </w:tcMar>
            <w:vAlign w:val="center"/>
            <w:hideMark/>
          </w:tcPr>
          <w:p w14:paraId="2E18EFB6" w14:textId="77777777" w:rsidR="00532618" w:rsidRPr="00532618" w:rsidRDefault="00532618" w:rsidP="00532618">
            <w:pPr>
              <w:spacing w:after="105" w:line="240" w:lineRule="auto"/>
              <w:jc w:val="center"/>
              <w:rPr>
                <w:rFonts w:ascii="Arial" w:eastAsia="Times New Roman" w:hAnsi="Arial" w:cs="Arial"/>
                <w:b/>
                <w:bCs/>
                <w:color w:val="3F3F3F"/>
                <w:sz w:val="24"/>
                <w:szCs w:val="24"/>
              </w:rPr>
            </w:pPr>
            <w:r w:rsidRPr="00532618">
              <w:rPr>
                <w:rFonts w:ascii="Arial" w:eastAsia="Times New Roman" w:hAnsi="Arial" w:cs="Arial"/>
                <w:b/>
                <w:bCs/>
                <w:color w:val="3F3F3F"/>
                <w:sz w:val="24"/>
                <w:szCs w:val="24"/>
              </w:rPr>
              <w:t>Size</w:t>
            </w:r>
          </w:p>
        </w:tc>
        <w:tc>
          <w:tcPr>
            <w:tcW w:w="1901" w:type="dxa"/>
            <w:tcBorders>
              <w:bottom w:val="single" w:sz="6" w:space="0" w:color="BFBFBF"/>
              <w:right w:val="single" w:sz="6" w:space="0" w:color="BFBFBF"/>
            </w:tcBorders>
            <w:shd w:val="clear" w:color="auto" w:fill="E9E9E9"/>
            <w:tcMar>
              <w:top w:w="105" w:type="dxa"/>
              <w:left w:w="45" w:type="dxa"/>
              <w:bottom w:w="105" w:type="dxa"/>
              <w:right w:w="45" w:type="dxa"/>
            </w:tcMar>
            <w:vAlign w:val="center"/>
            <w:hideMark/>
          </w:tcPr>
          <w:p w14:paraId="0DB0E3F9" w14:textId="77777777" w:rsidR="00532618" w:rsidRPr="00532618" w:rsidRDefault="00532618" w:rsidP="00532618">
            <w:pPr>
              <w:spacing w:after="105" w:line="240" w:lineRule="auto"/>
              <w:jc w:val="center"/>
              <w:rPr>
                <w:rFonts w:ascii="Arial" w:eastAsia="Times New Roman" w:hAnsi="Arial" w:cs="Arial"/>
                <w:b/>
                <w:bCs/>
                <w:color w:val="3F3F3F"/>
                <w:sz w:val="24"/>
                <w:szCs w:val="24"/>
              </w:rPr>
            </w:pPr>
            <w:r w:rsidRPr="00532618">
              <w:rPr>
                <w:rFonts w:ascii="Arial" w:eastAsia="Times New Roman" w:hAnsi="Arial" w:cs="Arial"/>
                <w:b/>
                <w:bCs/>
                <w:color w:val="3F3F3F"/>
                <w:sz w:val="24"/>
                <w:szCs w:val="24"/>
              </w:rPr>
              <w:t>Rate of Return</w:t>
            </w:r>
          </w:p>
        </w:tc>
      </w:tr>
      <w:tr w:rsidR="00532618" w:rsidRPr="00532618" w14:paraId="443A8889" w14:textId="77777777" w:rsidTr="00532618">
        <w:tc>
          <w:tcPr>
            <w:tcW w:w="1275" w:type="dxa"/>
            <w:tcBorders>
              <w:bottom w:val="single" w:sz="6" w:space="0" w:color="BFBFBF"/>
              <w:right w:val="single" w:sz="6" w:space="0" w:color="BFBFBF"/>
            </w:tcBorders>
            <w:tcMar>
              <w:top w:w="105" w:type="dxa"/>
              <w:left w:w="150" w:type="dxa"/>
              <w:bottom w:w="105" w:type="dxa"/>
              <w:right w:w="150" w:type="dxa"/>
            </w:tcMar>
            <w:hideMark/>
          </w:tcPr>
          <w:p w14:paraId="1FEA761B"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A</w:t>
            </w:r>
          </w:p>
        </w:tc>
        <w:tc>
          <w:tcPr>
            <w:tcW w:w="1268" w:type="dxa"/>
            <w:tcBorders>
              <w:bottom w:val="single" w:sz="6" w:space="0" w:color="BFBFBF"/>
              <w:right w:val="single" w:sz="6" w:space="0" w:color="BFBFBF"/>
            </w:tcBorders>
            <w:tcMar>
              <w:top w:w="105" w:type="dxa"/>
              <w:left w:w="150" w:type="dxa"/>
              <w:bottom w:w="105" w:type="dxa"/>
              <w:right w:w="150" w:type="dxa"/>
            </w:tcMar>
            <w:hideMark/>
          </w:tcPr>
          <w:p w14:paraId="00C1B9D6"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 million</w:t>
            </w:r>
          </w:p>
        </w:tc>
        <w:tc>
          <w:tcPr>
            <w:tcW w:w="1698" w:type="dxa"/>
            <w:tcBorders>
              <w:bottom w:val="single" w:sz="6" w:space="0" w:color="BFBFBF"/>
              <w:right w:val="nil"/>
            </w:tcBorders>
            <w:tcMar>
              <w:top w:w="105" w:type="dxa"/>
              <w:left w:w="150" w:type="dxa"/>
              <w:bottom w:w="105" w:type="dxa"/>
              <w:right w:w="150" w:type="dxa"/>
            </w:tcMar>
            <w:hideMark/>
          </w:tcPr>
          <w:p w14:paraId="2302F9EC"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12.0%</w:t>
            </w:r>
          </w:p>
        </w:tc>
      </w:tr>
      <w:tr w:rsidR="00532618" w:rsidRPr="00532618" w14:paraId="10BAFB4C" w14:textId="77777777" w:rsidTr="00532618">
        <w:tc>
          <w:tcPr>
            <w:tcW w:w="1275"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1494BEC9"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B</w:t>
            </w:r>
          </w:p>
        </w:tc>
        <w:tc>
          <w:tcPr>
            <w:tcW w:w="1268"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2967DA12"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2 million</w:t>
            </w:r>
          </w:p>
        </w:tc>
        <w:tc>
          <w:tcPr>
            <w:tcW w:w="1698" w:type="dxa"/>
            <w:tcBorders>
              <w:bottom w:val="single" w:sz="6" w:space="0" w:color="BFBFBF"/>
              <w:right w:val="nil"/>
            </w:tcBorders>
            <w:shd w:val="clear" w:color="auto" w:fill="EEF7FC"/>
            <w:tcMar>
              <w:top w:w="105" w:type="dxa"/>
              <w:left w:w="150" w:type="dxa"/>
              <w:bottom w:w="105" w:type="dxa"/>
              <w:right w:w="150" w:type="dxa"/>
            </w:tcMar>
            <w:hideMark/>
          </w:tcPr>
          <w:p w14:paraId="1025AF19"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11.5  </w:t>
            </w:r>
          </w:p>
        </w:tc>
      </w:tr>
      <w:tr w:rsidR="00532618" w:rsidRPr="00532618" w14:paraId="5D8D1FF7" w14:textId="77777777" w:rsidTr="00532618">
        <w:tc>
          <w:tcPr>
            <w:tcW w:w="1275" w:type="dxa"/>
            <w:tcBorders>
              <w:bottom w:val="single" w:sz="6" w:space="0" w:color="BFBFBF"/>
              <w:right w:val="single" w:sz="6" w:space="0" w:color="BFBFBF"/>
            </w:tcBorders>
            <w:tcMar>
              <w:top w:w="105" w:type="dxa"/>
              <w:left w:w="150" w:type="dxa"/>
              <w:bottom w:w="105" w:type="dxa"/>
              <w:right w:w="150" w:type="dxa"/>
            </w:tcMar>
            <w:hideMark/>
          </w:tcPr>
          <w:p w14:paraId="70474256"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C</w:t>
            </w:r>
          </w:p>
        </w:tc>
        <w:tc>
          <w:tcPr>
            <w:tcW w:w="1268" w:type="dxa"/>
            <w:tcBorders>
              <w:bottom w:val="single" w:sz="6" w:space="0" w:color="BFBFBF"/>
              <w:right w:val="single" w:sz="6" w:space="0" w:color="BFBFBF"/>
            </w:tcBorders>
            <w:tcMar>
              <w:top w:w="105" w:type="dxa"/>
              <w:left w:w="150" w:type="dxa"/>
              <w:bottom w:w="105" w:type="dxa"/>
              <w:right w:w="150" w:type="dxa"/>
            </w:tcMar>
            <w:hideMark/>
          </w:tcPr>
          <w:p w14:paraId="78C8D221"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2 million</w:t>
            </w:r>
          </w:p>
        </w:tc>
        <w:tc>
          <w:tcPr>
            <w:tcW w:w="1698" w:type="dxa"/>
            <w:tcBorders>
              <w:bottom w:val="single" w:sz="6" w:space="0" w:color="BFBFBF"/>
              <w:right w:val="nil"/>
            </w:tcBorders>
            <w:tcMar>
              <w:top w:w="105" w:type="dxa"/>
              <w:left w:w="150" w:type="dxa"/>
              <w:bottom w:w="105" w:type="dxa"/>
              <w:right w:w="150" w:type="dxa"/>
            </w:tcMar>
            <w:hideMark/>
          </w:tcPr>
          <w:p w14:paraId="4B32239D"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11.2  </w:t>
            </w:r>
          </w:p>
        </w:tc>
      </w:tr>
      <w:tr w:rsidR="00532618" w:rsidRPr="00532618" w14:paraId="7CFAC86C" w14:textId="77777777" w:rsidTr="00532618">
        <w:tc>
          <w:tcPr>
            <w:tcW w:w="1275"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0A103015"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D</w:t>
            </w:r>
          </w:p>
        </w:tc>
        <w:tc>
          <w:tcPr>
            <w:tcW w:w="1268"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2A1157F1"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2 million</w:t>
            </w:r>
          </w:p>
        </w:tc>
        <w:tc>
          <w:tcPr>
            <w:tcW w:w="1698" w:type="dxa"/>
            <w:tcBorders>
              <w:bottom w:val="single" w:sz="6" w:space="0" w:color="BFBFBF"/>
              <w:right w:val="nil"/>
            </w:tcBorders>
            <w:shd w:val="clear" w:color="auto" w:fill="EEF7FC"/>
            <w:tcMar>
              <w:top w:w="105" w:type="dxa"/>
              <w:left w:w="150" w:type="dxa"/>
              <w:bottom w:w="105" w:type="dxa"/>
              <w:right w:w="150" w:type="dxa"/>
            </w:tcMar>
            <w:hideMark/>
          </w:tcPr>
          <w:p w14:paraId="766788DF"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11.0  </w:t>
            </w:r>
          </w:p>
        </w:tc>
      </w:tr>
      <w:tr w:rsidR="00532618" w:rsidRPr="00532618" w14:paraId="758F748E" w14:textId="77777777" w:rsidTr="00532618">
        <w:tc>
          <w:tcPr>
            <w:tcW w:w="1275" w:type="dxa"/>
            <w:tcBorders>
              <w:bottom w:val="single" w:sz="6" w:space="0" w:color="BFBFBF"/>
              <w:right w:val="single" w:sz="6" w:space="0" w:color="BFBFBF"/>
            </w:tcBorders>
            <w:tcMar>
              <w:top w:w="105" w:type="dxa"/>
              <w:left w:w="150" w:type="dxa"/>
              <w:bottom w:w="105" w:type="dxa"/>
              <w:right w:w="150" w:type="dxa"/>
            </w:tcMar>
            <w:hideMark/>
          </w:tcPr>
          <w:p w14:paraId="3BE7C95A"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E</w:t>
            </w:r>
          </w:p>
        </w:tc>
        <w:tc>
          <w:tcPr>
            <w:tcW w:w="1268" w:type="dxa"/>
            <w:tcBorders>
              <w:bottom w:val="single" w:sz="6" w:space="0" w:color="BFBFBF"/>
              <w:right w:val="single" w:sz="6" w:space="0" w:color="BFBFBF"/>
            </w:tcBorders>
            <w:tcMar>
              <w:top w:w="105" w:type="dxa"/>
              <w:left w:w="150" w:type="dxa"/>
              <w:bottom w:w="105" w:type="dxa"/>
              <w:right w:w="150" w:type="dxa"/>
            </w:tcMar>
            <w:hideMark/>
          </w:tcPr>
          <w:p w14:paraId="46244DBF"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 million</w:t>
            </w:r>
          </w:p>
        </w:tc>
        <w:tc>
          <w:tcPr>
            <w:tcW w:w="1698" w:type="dxa"/>
            <w:tcBorders>
              <w:bottom w:val="single" w:sz="6" w:space="0" w:color="BFBFBF"/>
              <w:right w:val="nil"/>
            </w:tcBorders>
            <w:tcMar>
              <w:top w:w="105" w:type="dxa"/>
              <w:left w:w="150" w:type="dxa"/>
              <w:bottom w:w="105" w:type="dxa"/>
              <w:right w:w="150" w:type="dxa"/>
            </w:tcMar>
            <w:hideMark/>
          </w:tcPr>
          <w:p w14:paraId="79C7803C"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10.7  </w:t>
            </w:r>
          </w:p>
        </w:tc>
      </w:tr>
      <w:tr w:rsidR="00532618" w:rsidRPr="00532618" w14:paraId="4494E64C" w14:textId="77777777" w:rsidTr="00532618">
        <w:tc>
          <w:tcPr>
            <w:tcW w:w="1275"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1B77680B"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F</w:t>
            </w:r>
          </w:p>
        </w:tc>
        <w:tc>
          <w:tcPr>
            <w:tcW w:w="1268" w:type="dxa"/>
            <w:tcBorders>
              <w:bottom w:val="single" w:sz="6" w:space="0" w:color="BFBFBF"/>
              <w:right w:val="single" w:sz="6" w:space="0" w:color="BFBFBF"/>
            </w:tcBorders>
            <w:shd w:val="clear" w:color="auto" w:fill="EEF7FC"/>
            <w:tcMar>
              <w:top w:w="105" w:type="dxa"/>
              <w:left w:w="150" w:type="dxa"/>
              <w:bottom w:w="105" w:type="dxa"/>
              <w:right w:w="150" w:type="dxa"/>
            </w:tcMar>
            <w:hideMark/>
          </w:tcPr>
          <w:p w14:paraId="4EDF3C98"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 million</w:t>
            </w:r>
          </w:p>
        </w:tc>
        <w:tc>
          <w:tcPr>
            <w:tcW w:w="1698" w:type="dxa"/>
            <w:tcBorders>
              <w:bottom w:val="single" w:sz="6" w:space="0" w:color="BFBFBF"/>
              <w:right w:val="nil"/>
            </w:tcBorders>
            <w:shd w:val="clear" w:color="auto" w:fill="EEF7FC"/>
            <w:tcMar>
              <w:top w:w="105" w:type="dxa"/>
              <w:left w:w="150" w:type="dxa"/>
              <w:bottom w:w="105" w:type="dxa"/>
              <w:right w:w="150" w:type="dxa"/>
            </w:tcMar>
            <w:hideMark/>
          </w:tcPr>
          <w:p w14:paraId="652481D0"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10.3  </w:t>
            </w:r>
          </w:p>
        </w:tc>
      </w:tr>
      <w:tr w:rsidR="00532618" w:rsidRPr="00532618" w14:paraId="060454FB" w14:textId="77777777" w:rsidTr="00532618">
        <w:tc>
          <w:tcPr>
            <w:tcW w:w="1275" w:type="dxa"/>
            <w:tcBorders>
              <w:bottom w:val="single" w:sz="6" w:space="0" w:color="BFBFBF"/>
              <w:right w:val="single" w:sz="6" w:space="0" w:color="BFBFBF"/>
            </w:tcBorders>
            <w:tcMar>
              <w:top w:w="105" w:type="dxa"/>
              <w:left w:w="150" w:type="dxa"/>
              <w:bottom w:w="105" w:type="dxa"/>
              <w:right w:w="150" w:type="dxa"/>
            </w:tcMar>
            <w:hideMark/>
          </w:tcPr>
          <w:p w14:paraId="1F53D45E" w14:textId="77777777" w:rsidR="00532618" w:rsidRPr="00532618" w:rsidRDefault="00532618" w:rsidP="00532618">
            <w:pPr>
              <w:spacing w:after="105" w:line="240" w:lineRule="auto"/>
              <w:jc w:val="center"/>
              <w:rPr>
                <w:rFonts w:ascii="Arial" w:eastAsia="Times New Roman" w:hAnsi="Arial" w:cs="Arial"/>
                <w:color w:val="3F3F3F"/>
                <w:sz w:val="24"/>
                <w:szCs w:val="24"/>
              </w:rPr>
            </w:pPr>
            <w:r w:rsidRPr="00532618">
              <w:rPr>
                <w:rFonts w:ascii="Arial" w:eastAsia="Times New Roman" w:hAnsi="Arial" w:cs="Arial"/>
                <w:color w:val="3F3F3F"/>
                <w:sz w:val="24"/>
                <w:szCs w:val="24"/>
              </w:rPr>
              <w:t>G</w:t>
            </w:r>
          </w:p>
        </w:tc>
        <w:tc>
          <w:tcPr>
            <w:tcW w:w="1268" w:type="dxa"/>
            <w:tcBorders>
              <w:bottom w:val="single" w:sz="6" w:space="0" w:color="BFBFBF"/>
              <w:right w:val="single" w:sz="6" w:space="0" w:color="BFBFBF"/>
            </w:tcBorders>
            <w:tcMar>
              <w:top w:w="105" w:type="dxa"/>
              <w:left w:w="150" w:type="dxa"/>
              <w:bottom w:w="105" w:type="dxa"/>
              <w:right w:w="150" w:type="dxa"/>
            </w:tcMar>
            <w:hideMark/>
          </w:tcPr>
          <w:p w14:paraId="6E06DD0F"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 million</w:t>
            </w:r>
          </w:p>
        </w:tc>
        <w:tc>
          <w:tcPr>
            <w:tcW w:w="1698" w:type="dxa"/>
            <w:tcBorders>
              <w:bottom w:val="single" w:sz="6" w:space="0" w:color="BFBFBF"/>
              <w:right w:val="nil"/>
            </w:tcBorders>
            <w:tcMar>
              <w:top w:w="105" w:type="dxa"/>
              <w:left w:w="150" w:type="dxa"/>
              <w:bottom w:w="105" w:type="dxa"/>
              <w:right w:w="150" w:type="dxa"/>
            </w:tcMar>
            <w:hideMark/>
          </w:tcPr>
          <w:p w14:paraId="185B6A29" w14:textId="77777777" w:rsidR="00532618" w:rsidRPr="00532618" w:rsidRDefault="00532618" w:rsidP="00532618">
            <w:pPr>
              <w:spacing w:after="105" w:line="240" w:lineRule="auto"/>
              <w:jc w:val="right"/>
              <w:rPr>
                <w:rFonts w:ascii="Arial" w:eastAsia="Times New Roman" w:hAnsi="Arial" w:cs="Arial"/>
                <w:color w:val="3F3F3F"/>
                <w:sz w:val="24"/>
                <w:szCs w:val="24"/>
              </w:rPr>
            </w:pPr>
            <w:r w:rsidRPr="00532618">
              <w:rPr>
                <w:rFonts w:ascii="Arial" w:eastAsia="Times New Roman" w:hAnsi="Arial" w:cs="Arial"/>
                <w:color w:val="3F3F3F"/>
                <w:sz w:val="24"/>
                <w:szCs w:val="24"/>
              </w:rPr>
              <w:t>10.2  </w:t>
            </w:r>
          </w:p>
        </w:tc>
      </w:tr>
    </w:tbl>
    <w:p w14:paraId="6F3CC97E" w14:textId="77777777"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Arial" w:eastAsia="Times New Roman" w:hAnsi="Arial" w:cs="Arial"/>
          <w:color w:val="3F3F3F"/>
          <w:sz w:val="24"/>
          <w:szCs w:val="24"/>
        </w:rPr>
        <w:t>Assume that each of these projects is just as risky as the firm’s existing assets and that the firm may accept all the projects or only some of them. Which set of projects should be accepted? Explain.</w:t>
      </w:r>
    </w:p>
    <w:p w14:paraId="0A0ADC57" w14:textId="77777777" w:rsidR="00532618" w:rsidRPr="00532618" w:rsidRDefault="00532618" w:rsidP="00532618">
      <w:pPr>
        <w:spacing w:after="0" w:line="240" w:lineRule="auto"/>
        <w:outlineLvl w:val="1"/>
        <w:rPr>
          <w:rFonts w:ascii="Helvetica" w:eastAsia="Times New Roman" w:hAnsi="Helvetica" w:cs="Helvetica"/>
          <w:b/>
          <w:bCs/>
          <w:color w:val="C1510A"/>
          <w:sz w:val="24"/>
          <w:szCs w:val="24"/>
        </w:rPr>
      </w:pPr>
      <w:r w:rsidRPr="00532618">
        <w:rPr>
          <w:rFonts w:ascii="Helvetica" w:eastAsia="Times New Roman" w:hAnsi="Helvetica" w:cs="Helvetica"/>
          <w:b/>
          <w:bCs/>
          <w:color w:val="C1510A"/>
          <w:sz w:val="24"/>
          <w:szCs w:val="24"/>
        </w:rPr>
        <w:t>Intermediate Problems 6-13</w:t>
      </w:r>
    </w:p>
    <w:p w14:paraId="5DB3A8EE" w14:textId="77777777" w:rsidR="00532618" w:rsidRPr="00532618" w:rsidRDefault="00532618" w:rsidP="00532618">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a.</w:t>
      </w:r>
    </w:p>
    <w:p w14:paraId="50649C8F"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=15.6%</w:t>
      </w:r>
    </w:p>
    <w:p w14:paraId="3ED6FB95" w14:textId="77777777" w:rsidR="00532618" w:rsidRPr="00532618" w:rsidRDefault="00532618" w:rsidP="00532618">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b.</w:t>
      </w:r>
    </w:p>
    <w:p w14:paraId="587E509B"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=14.4%</w:t>
      </w:r>
    </w:p>
    <w:p w14:paraId="00E71D1C" w14:textId="77777777" w:rsidR="00532618" w:rsidRPr="00532618" w:rsidRDefault="00532618" w:rsidP="00532618">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c.</w:t>
      </w:r>
    </w:p>
    <w:p w14:paraId="3D5463A2"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=15%</w:t>
      </w:r>
    </w:p>
    <w:p w14:paraId="697F1AFD" w14:textId="77777777" w:rsidR="00532618" w:rsidRPr="00532618" w:rsidRDefault="00532618" w:rsidP="00532618">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d.</w:t>
      </w:r>
    </w:p>
    <w:p w14:paraId="4C3B38BF"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 xml:space="preserve"> Avg=15.0%</w:t>
      </w:r>
    </w:p>
    <w:p w14:paraId="16FCD340" w14:textId="77777777" w:rsidR="00532618" w:rsidRPr="00532618" w:rsidRDefault="00532618" w:rsidP="00532618">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a.</w:t>
      </w:r>
    </w:p>
    <w:p w14:paraId="7C410C3F" w14:textId="77777777" w:rsidR="00532618" w:rsidRPr="00532618" w:rsidRDefault="00532618" w:rsidP="00532618">
      <w:pPr>
        <w:spacing w:after="105" w:line="312" w:lineRule="atLeast"/>
        <w:ind w:left="720"/>
        <w:rPr>
          <w:rFonts w:ascii="Arial" w:eastAsia="Times New Roman" w:hAnsi="Arial" w:cs="Arial"/>
          <w:color w:val="3F3F3F"/>
          <w:sz w:val="24"/>
          <w:szCs w:val="24"/>
        </w:rPr>
      </w:pPr>
      <w:proofErr w:type="spellStart"/>
      <w:r w:rsidRPr="00532618">
        <w:rPr>
          <w:rFonts w:ascii="Arial" w:eastAsia="Times New Roman" w:hAnsi="Arial" w:cs="Arial"/>
          <w:color w:val="3F3F3F"/>
          <w:sz w:val="24"/>
          <w:szCs w:val="24"/>
        </w:rPr>
        <w:lastRenderedPageBreak/>
        <w:t>rs</w:t>
      </w:r>
      <w:proofErr w:type="spellEnd"/>
      <w:r w:rsidRPr="00532618">
        <w:rPr>
          <w:rFonts w:ascii="Arial" w:eastAsia="Times New Roman" w:hAnsi="Arial" w:cs="Arial"/>
          <w:color w:val="3F3F3F"/>
          <w:sz w:val="24"/>
          <w:szCs w:val="24"/>
        </w:rPr>
        <w:t>=14.97%</w:t>
      </w:r>
    </w:p>
    <w:p w14:paraId="667FD075" w14:textId="77777777" w:rsidR="00532618" w:rsidRPr="00532618" w:rsidRDefault="00532618" w:rsidP="00532618">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b.</w:t>
      </w:r>
    </w:p>
    <w:p w14:paraId="506D1735" w14:textId="77777777" w:rsidR="00532618" w:rsidRPr="00532618" w:rsidRDefault="00532618" w:rsidP="00532618">
      <w:pPr>
        <w:spacing w:after="105" w:line="312" w:lineRule="atLeast"/>
        <w:ind w:left="720"/>
        <w:rPr>
          <w:rFonts w:ascii="Arial" w:eastAsia="Times New Roman" w:hAnsi="Arial" w:cs="Arial"/>
          <w:color w:val="3F3F3F"/>
          <w:sz w:val="24"/>
          <w:szCs w:val="24"/>
        </w:rPr>
      </w:pPr>
      <w:r w:rsidRPr="00532618">
        <w:rPr>
          <w:rFonts w:ascii="Arial" w:eastAsia="Times New Roman" w:hAnsi="Arial" w:cs="Arial"/>
          <w:color w:val="3F3F3F"/>
          <w:sz w:val="24"/>
          <w:szCs w:val="24"/>
        </w:rPr>
        <w:t>WACC = 11.62%</w:t>
      </w:r>
    </w:p>
    <w:p w14:paraId="04202C04" w14:textId="77777777" w:rsidR="00532618" w:rsidRPr="00532618" w:rsidRDefault="00532618" w:rsidP="00532618">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532618">
        <w:rPr>
          <w:rFonts w:ascii="Arial" w:eastAsia="Times New Roman" w:hAnsi="Arial" w:cs="Arial"/>
          <w:sz w:val="24"/>
          <w:szCs w:val="24"/>
        </w:rPr>
        <w:t>c.</w:t>
      </w:r>
    </w:p>
    <w:p w14:paraId="61454E2C" w14:textId="77777777" w:rsidR="00532618" w:rsidRPr="00532618" w:rsidRDefault="00532618" w:rsidP="00532618">
      <w:pPr>
        <w:spacing w:after="105" w:line="312" w:lineRule="atLeast"/>
        <w:ind w:left="720"/>
        <w:rPr>
          <w:rFonts w:ascii="Arial" w:eastAsia="Times New Roman" w:hAnsi="Arial" w:cs="Arial"/>
          <w:color w:val="3F3F3F"/>
          <w:sz w:val="24"/>
          <w:szCs w:val="24"/>
        </w:rPr>
      </w:pPr>
      <w:r w:rsidRPr="00532618">
        <w:rPr>
          <w:rFonts w:ascii="Arial" w:eastAsia="Times New Roman" w:hAnsi="Arial" w:cs="Arial"/>
          <w:color w:val="3F3F3F"/>
          <w:sz w:val="24"/>
          <w:szCs w:val="24"/>
        </w:rPr>
        <w:t>Project A</w:t>
      </w:r>
    </w:p>
    <w:p w14:paraId="3AD4DB15" w14:textId="77777777" w:rsidR="00532618" w:rsidRPr="00532618" w:rsidRDefault="00532618" w:rsidP="00532618">
      <w:pPr>
        <w:numPr>
          <w:ilvl w:val="0"/>
          <w:numId w:val="5"/>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10-6</w:t>
      </w:r>
    </w:p>
    <w:p w14:paraId="12E57A17" w14:textId="59BC8FFC"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COST OF COMMON EQUITY</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The future earnings, dividends, and common stock price of Callahan Technologies Inc. are expected to grow 6% per year. Callahan’s common stock currently sells for $22.00 per share, its last dividend was $2.00, and it will pay a $2.12 dividend at the end of the current year.</w:t>
      </w:r>
    </w:p>
    <w:p w14:paraId="08898672"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Using the DCF approach, what is its cost of common equity?</w:t>
      </w:r>
    </w:p>
    <w:p w14:paraId="1EF77ED6"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If the firm’s beta is 1.2, the risk-free rate is 6%, and the average return on the market is 13%, what will be the firm’s cost of common equity using the CAPM approach?</w:t>
      </w:r>
    </w:p>
    <w:p w14:paraId="17C98CCB"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If the firm’s bonds earn a return of 11%, based on the bond-yield-plus-risk-premium approach, what will be </w:t>
      </w: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 Use the midpoint of the risk premium range discussed in </w:t>
      </w:r>
      <w:r w:rsidRPr="00532618">
        <w:rPr>
          <w:rFonts w:ascii="Arial" w:eastAsia="Times New Roman" w:hAnsi="Arial" w:cs="Arial"/>
          <w:b/>
          <w:bCs/>
          <w:color w:val="575757"/>
          <w:sz w:val="24"/>
          <w:szCs w:val="24"/>
        </w:rPr>
        <w:t>Section 10-5</w:t>
      </w:r>
      <w:r w:rsidRPr="00532618">
        <w:rPr>
          <w:rFonts w:ascii="Arial" w:eastAsia="Times New Roman" w:hAnsi="Arial" w:cs="Arial"/>
          <w:color w:val="3F3F3F"/>
          <w:sz w:val="24"/>
          <w:szCs w:val="24"/>
        </w:rPr>
        <w:t> in your calculations.</w:t>
      </w:r>
    </w:p>
    <w:p w14:paraId="2A2B124D"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If you have equal confidence in the inputs used for the three approaches, what is your estimate of Callahan’s cost of common equity?</w:t>
      </w:r>
    </w:p>
    <w:p w14:paraId="5169E38C" w14:textId="77777777" w:rsidR="00532618" w:rsidRPr="00532618" w:rsidRDefault="00532618" w:rsidP="00532618">
      <w:pPr>
        <w:numPr>
          <w:ilvl w:val="0"/>
          <w:numId w:val="5"/>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10-7</w:t>
      </w:r>
    </w:p>
    <w:p w14:paraId="41A6D79F" w14:textId="77777777" w:rsidR="004A13B7" w:rsidRDefault="00532618" w:rsidP="00532618">
      <w:pPr>
        <w:spacing w:after="105" w:line="120" w:lineRule="atLeast"/>
        <w:ind w:left="720"/>
        <w:rPr>
          <w:rFonts w:ascii="Helvetica" w:eastAsia="Times New Roman" w:hAnsi="Helvetica" w:cs="Helvetica"/>
          <w:b/>
          <w:bCs/>
          <w:caps/>
          <w:color w:val="3F3F3F"/>
          <w:sz w:val="24"/>
          <w:szCs w:val="24"/>
        </w:rPr>
      </w:pPr>
      <w:r w:rsidRPr="00532618">
        <w:rPr>
          <w:rFonts w:ascii="Helvetica" w:eastAsia="Times New Roman" w:hAnsi="Helvetica" w:cs="Helvetica"/>
          <w:b/>
          <w:bCs/>
          <w:caps/>
          <w:color w:val="3F3F3F"/>
          <w:sz w:val="24"/>
          <w:szCs w:val="24"/>
        </w:rPr>
        <w:t>COST OF COMMON EQUITY WITH AND WITHOUT FLOTATION</w:t>
      </w:r>
      <w:r w:rsidR="004A13B7">
        <w:rPr>
          <w:rFonts w:ascii="Helvetica" w:eastAsia="Times New Roman" w:hAnsi="Helvetica" w:cs="Helvetica"/>
          <w:b/>
          <w:bCs/>
          <w:caps/>
          <w:color w:val="3F3F3F"/>
          <w:sz w:val="24"/>
          <w:szCs w:val="24"/>
        </w:rPr>
        <w:t xml:space="preserve"> </w:t>
      </w:r>
    </w:p>
    <w:p w14:paraId="664B47F3" w14:textId="5FBBC5F9"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Arial" w:eastAsia="Times New Roman" w:hAnsi="Arial" w:cs="Arial"/>
          <w:color w:val="3F3F3F"/>
          <w:sz w:val="24"/>
          <w:szCs w:val="24"/>
        </w:rPr>
        <w:t xml:space="preserve">The </w:t>
      </w:r>
      <w:proofErr w:type="spellStart"/>
      <w:r w:rsidRPr="00532618">
        <w:rPr>
          <w:rFonts w:ascii="Arial" w:eastAsia="Times New Roman" w:hAnsi="Arial" w:cs="Arial"/>
          <w:color w:val="3F3F3F"/>
          <w:sz w:val="24"/>
          <w:szCs w:val="24"/>
        </w:rPr>
        <w:t>Evanec</w:t>
      </w:r>
      <w:proofErr w:type="spellEnd"/>
      <w:r w:rsidRPr="00532618">
        <w:rPr>
          <w:rFonts w:ascii="Arial" w:eastAsia="Times New Roman" w:hAnsi="Arial" w:cs="Arial"/>
          <w:color w:val="3F3F3F"/>
          <w:sz w:val="24"/>
          <w:szCs w:val="24"/>
        </w:rPr>
        <w:t xml:space="preserve"> Company’s next expected dividend, D1, is $3.18; its growth rate is 6%; and its common stock now sells for $36.00. New stock (external equity) can be sold to net $32.40 per share.</w:t>
      </w:r>
    </w:p>
    <w:p w14:paraId="71142A2A"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 xml:space="preserve">What is </w:t>
      </w:r>
      <w:proofErr w:type="spellStart"/>
      <w:r w:rsidRPr="00532618">
        <w:rPr>
          <w:rFonts w:ascii="Arial" w:eastAsia="Times New Roman" w:hAnsi="Arial" w:cs="Arial"/>
          <w:color w:val="3F3F3F"/>
          <w:sz w:val="24"/>
          <w:szCs w:val="24"/>
        </w:rPr>
        <w:t>Evanec’s</w:t>
      </w:r>
      <w:proofErr w:type="spellEnd"/>
      <w:r w:rsidRPr="00532618">
        <w:rPr>
          <w:rFonts w:ascii="Arial" w:eastAsia="Times New Roman" w:hAnsi="Arial" w:cs="Arial"/>
          <w:color w:val="3F3F3F"/>
          <w:sz w:val="24"/>
          <w:szCs w:val="24"/>
        </w:rPr>
        <w:t xml:space="preserve"> cost of retained earnings, </w:t>
      </w:r>
      <w:proofErr w:type="spellStart"/>
      <w:r w:rsidRPr="00532618">
        <w:rPr>
          <w:rFonts w:ascii="Arial" w:eastAsia="Times New Roman" w:hAnsi="Arial" w:cs="Arial"/>
          <w:color w:val="3F3F3F"/>
          <w:sz w:val="24"/>
          <w:szCs w:val="24"/>
        </w:rPr>
        <w:t>rs</w:t>
      </w:r>
      <w:proofErr w:type="spellEnd"/>
      <w:r w:rsidRPr="00532618">
        <w:rPr>
          <w:rFonts w:ascii="Arial" w:eastAsia="Times New Roman" w:hAnsi="Arial" w:cs="Arial"/>
          <w:color w:val="3F3F3F"/>
          <w:sz w:val="24"/>
          <w:szCs w:val="24"/>
        </w:rPr>
        <w:t>?</w:t>
      </w:r>
    </w:p>
    <w:p w14:paraId="2DA274E3"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 xml:space="preserve">What is </w:t>
      </w:r>
      <w:proofErr w:type="spellStart"/>
      <w:r w:rsidRPr="00532618">
        <w:rPr>
          <w:rFonts w:ascii="Arial" w:eastAsia="Times New Roman" w:hAnsi="Arial" w:cs="Arial"/>
          <w:color w:val="3F3F3F"/>
          <w:sz w:val="24"/>
          <w:szCs w:val="24"/>
        </w:rPr>
        <w:t>Evanec’s</w:t>
      </w:r>
      <w:proofErr w:type="spellEnd"/>
      <w:r w:rsidRPr="00532618">
        <w:rPr>
          <w:rFonts w:ascii="Arial" w:eastAsia="Times New Roman" w:hAnsi="Arial" w:cs="Arial"/>
          <w:color w:val="3F3F3F"/>
          <w:sz w:val="24"/>
          <w:szCs w:val="24"/>
        </w:rPr>
        <w:t xml:space="preserve"> percentage flotation cost, F?</w:t>
      </w:r>
    </w:p>
    <w:p w14:paraId="4C6AE408" w14:textId="77777777" w:rsidR="00532618" w:rsidRPr="00532618" w:rsidRDefault="00532618" w:rsidP="00532618">
      <w:pPr>
        <w:numPr>
          <w:ilvl w:val="1"/>
          <w:numId w:val="5"/>
        </w:numPr>
        <w:spacing w:after="105" w:line="120" w:lineRule="atLeast"/>
        <w:rPr>
          <w:rFonts w:ascii="Arial" w:eastAsia="Times New Roman" w:hAnsi="Arial" w:cs="Arial"/>
          <w:color w:val="3F3F3F"/>
          <w:sz w:val="24"/>
          <w:szCs w:val="24"/>
        </w:rPr>
      </w:pPr>
      <w:r w:rsidRPr="00532618">
        <w:rPr>
          <w:rFonts w:ascii="Arial" w:eastAsia="Times New Roman" w:hAnsi="Arial" w:cs="Arial"/>
          <w:color w:val="3F3F3F"/>
          <w:sz w:val="24"/>
          <w:szCs w:val="24"/>
        </w:rPr>
        <w:t xml:space="preserve">What is </w:t>
      </w:r>
      <w:proofErr w:type="spellStart"/>
      <w:r w:rsidRPr="00532618">
        <w:rPr>
          <w:rFonts w:ascii="Arial" w:eastAsia="Times New Roman" w:hAnsi="Arial" w:cs="Arial"/>
          <w:color w:val="3F3F3F"/>
          <w:sz w:val="24"/>
          <w:szCs w:val="24"/>
        </w:rPr>
        <w:t>Evanec’s</w:t>
      </w:r>
      <w:proofErr w:type="spellEnd"/>
      <w:r w:rsidRPr="00532618">
        <w:rPr>
          <w:rFonts w:ascii="Arial" w:eastAsia="Times New Roman" w:hAnsi="Arial" w:cs="Arial"/>
          <w:color w:val="3F3F3F"/>
          <w:sz w:val="24"/>
          <w:szCs w:val="24"/>
        </w:rPr>
        <w:t xml:space="preserve"> cost of new common stock, re?</w:t>
      </w:r>
    </w:p>
    <w:p w14:paraId="3BBAF042" w14:textId="77777777" w:rsidR="00532618" w:rsidRPr="00532618" w:rsidRDefault="00532618" w:rsidP="00532618">
      <w:pPr>
        <w:numPr>
          <w:ilvl w:val="0"/>
          <w:numId w:val="5"/>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10-8</w:t>
      </w:r>
    </w:p>
    <w:p w14:paraId="0D9FD64B" w14:textId="2868CD0E" w:rsidR="00532618" w:rsidRPr="00532618" w:rsidRDefault="00532618" w:rsidP="00532618">
      <w:pPr>
        <w:spacing w:after="105" w:line="120" w:lineRule="atLeast"/>
        <w:ind w:left="720"/>
        <w:rPr>
          <w:rFonts w:ascii="Arial" w:eastAsia="Times New Roman" w:hAnsi="Arial" w:cs="Arial"/>
          <w:color w:val="3F3F3F"/>
          <w:sz w:val="24"/>
          <w:szCs w:val="24"/>
        </w:rPr>
      </w:pPr>
      <w:r w:rsidRPr="00532618">
        <w:rPr>
          <w:rFonts w:ascii="Helvetica" w:eastAsia="Times New Roman" w:hAnsi="Helvetica" w:cs="Helvetica"/>
          <w:b/>
          <w:bCs/>
          <w:caps/>
          <w:color w:val="3F3F3F"/>
          <w:sz w:val="24"/>
          <w:szCs w:val="24"/>
        </w:rPr>
        <w:t>COST OF COMMON EQUITY AND WACC</w:t>
      </w:r>
      <w:r w:rsidR="004A13B7">
        <w:rPr>
          <w:rFonts w:ascii="Helvetica" w:eastAsia="Times New Roman" w:hAnsi="Helvetica" w:cs="Helvetica"/>
          <w:b/>
          <w:bCs/>
          <w:caps/>
          <w:color w:val="3F3F3F"/>
          <w:sz w:val="24"/>
          <w:szCs w:val="24"/>
        </w:rPr>
        <w:t xml:space="preserve">   </w:t>
      </w:r>
      <w:r w:rsidRPr="00532618">
        <w:rPr>
          <w:rFonts w:ascii="Arial" w:eastAsia="Times New Roman" w:hAnsi="Arial" w:cs="Arial"/>
          <w:color w:val="3F3F3F"/>
          <w:sz w:val="24"/>
          <w:szCs w:val="24"/>
        </w:rPr>
        <w:t xml:space="preserve">Palencia Paints Corporation has a target capital structure of 35% debt and 65% common equity, with no preferred stock. </w:t>
      </w:r>
      <w:r w:rsidR="004A13B7" w:rsidRPr="00532618">
        <w:rPr>
          <w:rFonts w:ascii="Arial" w:eastAsia="Times New Roman" w:hAnsi="Arial" w:cs="Arial"/>
          <w:color w:val="3F3F3F"/>
          <w:sz w:val="24"/>
          <w:szCs w:val="24"/>
        </w:rPr>
        <w:t>It’s</w:t>
      </w:r>
      <w:r w:rsidRPr="00532618">
        <w:rPr>
          <w:rFonts w:ascii="Arial" w:eastAsia="Times New Roman" w:hAnsi="Arial" w:cs="Arial"/>
          <w:color w:val="3F3F3F"/>
          <w:sz w:val="24"/>
          <w:szCs w:val="24"/>
        </w:rPr>
        <w:t xml:space="preserve"> before-tax cost of debt is 8%, and its marginal tax rate is 40%. The current stock price is P0=$22.00. The last dividend was D0=$2.25, and it is expected to grow at a 5% constant rate. What is its cost of common equity and its WACC?</w:t>
      </w:r>
    </w:p>
    <w:p w14:paraId="47ECA535" w14:textId="77777777" w:rsidR="00532618" w:rsidRPr="00532618" w:rsidRDefault="00532618" w:rsidP="00532618">
      <w:pPr>
        <w:shd w:val="clear" w:color="auto" w:fill="EDF8F6"/>
        <w:spacing w:beforeAutospacing="1" w:after="0" w:afterAutospacing="1" w:line="288" w:lineRule="atLeast"/>
        <w:ind w:left="825"/>
        <w:rPr>
          <w:rFonts w:ascii="Helvetica" w:eastAsia="Times New Roman" w:hAnsi="Helvetica" w:cs="Helvetica"/>
          <w:b/>
          <w:bCs/>
          <w:caps/>
          <w:color w:val="6699FF"/>
          <w:sz w:val="24"/>
          <w:szCs w:val="24"/>
        </w:rPr>
      </w:pPr>
      <w:r w:rsidRPr="00532618">
        <w:rPr>
          <w:rFonts w:ascii="Helvetica" w:eastAsia="Times New Roman" w:hAnsi="Helvetica" w:cs="Helvetica"/>
          <w:b/>
          <w:bCs/>
          <w:caps/>
          <w:color w:val="6699FF"/>
          <w:sz w:val="24"/>
          <w:szCs w:val="24"/>
        </w:rPr>
        <w:lastRenderedPageBreak/>
        <w:t>ANSWER ↓</w:t>
      </w:r>
    </w:p>
    <w:p w14:paraId="5C8AB14D" w14:textId="77777777" w:rsidR="00532618" w:rsidRPr="00532618" w:rsidRDefault="00532618" w:rsidP="00532618">
      <w:pPr>
        <w:numPr>
          <w:ilvl w:val="0"/>
          <w:numId w:val="5"/>
        </w:numPr>
        <w:spacing w:before="100" w:beforeAutospacing="1" w:after="100" w:afterAutospacing="1" w:line="120" w:lineRule="atLeast"/>
        <w:rPr>
          <w:rFonts w:ascii="Times New Roman" w:eastAsia="Times New Roman" w:hAnsi="Times New Roman" w:cs="Times New Roman"/>
          <w:sz w:val="24"/>
          <w:szCs w:val="24"/>
        </w:rPr>
      </w:pPr>
      <w:r w:rsidRPr="00532618">
        <w:rPr>
          <w:rFonts w:ascii="Arial" w:eastAsia="Times New Roman" w:hAnsi="Arial" w:cs="Arial"/>
          <w:color w:val="3F3F3F"/>
          <w:sz w:val="24"/>
          <w:szCs w:val="24"/>
        </w:rPr>
        <w:t>10-9</w:t>
      </w:r>
    </w:p>
    <w:p w14:paraId="4FC0C903" w14:textId="77777777" w:rsidR="00532618" w:rsidRPr="00532618" w:rsidRDefault="00532618" w:rsidP="00532618">
      <w:pPr>
        <w:spacing w:after="105" w:line="120" w:lineRule="atLeast"/>
        <w:ind w:left="720"/>
        <w:rPr>
          <w:rFonts w:ascii="Arial" w:eastAsia="Times New Roman" w:hAnsi="Arial" w:cs="Arial"/>
          <w:color w:val="3F3F3F"/>
          <w:sz w:val="24"/>
          <w:szCs w:val="24"/>
        </w:rPr>
      </w:pPr>
      <w:proofErr w:type="spellStart"/>
      <w:r w:rsidRPr="00532618">
        <w:rPr>
          <w:rFonts w:ascii="Helvetica" w:eastAsia="Times New Roman" w:hAnsi="Helvetica" w:cs="Helvetica"/>
          <w:b/>
          <w:bCs/>
          <w:caps/>
          <w:color w:val="3F3F3F"/>
          <w:sz w:val="24"/>
          <w:szCs w:val="24"/>
        </w:rPr>
        <w:t>WACC</w:t>
      </w:r>
      <w:r w:rsidRPr="00532618">
        <w:rPr>
          <w:rFonts w:ascii="Arial" w:eastAsia="Times New Roman" w:hAnsi="Arial" w:cs="Arial"/>
          <w:color w:val="3F3F3F"/>
          <w:sz w:val="24"/>
          <w:szCs w:val="24"/>
        </w:rPr>
        <w:t>The</w:t>
      </w:r>
      <w:proofErr w:type="spellEnd"/>
      <w:r w:rsidRPr="00532618">
        <w:rPr>
          <w:rFonts w:ascii="Arial" w:eastAsia="Times New Roman" w:hAnsi="Arial" w:cs="Arial"/>
          <w:color w:val="3F3F3F"/>
          <w:sz w:val="24"/>
          <w:szCs w:val="24"/>
        </w:rPr>
        <w:t xml:space="preserve"> Paulson Company’s year-end balance sheet is shown below. </w:t>
      </w:r>
      <w:proofErr w:type="gramStart"/>
      <w:r w:rsidRPr="00532618">
        <w:rPr>
          <w:rFonts w:ascii="Arial" w:eastAsia="Times New Roman" w:hAnsi="Arial" w:cs="Arial"/>
          <w:color w:val="3F3F3F"/>
          <w:sz w:val="24"/>
          <w:szCs w:val="24"/>
        </w:rPr>
        <w:t>Its</w:t>
      </w:r>
      <w:proofErr w:type="gramEnd"/>
      <w:r w:rsidRPr="00532618">
        <w:rPr>
          <w:rFonts w:ascii="Arial" w:eastAsia="Times New Roman" w:hAnsi="Arial" w:cs="Arial"/>
          <w:color w:val="3F3F3F"/>
          <w:sz w:val="24"/>
          <w:szCs w:val="24"/>
        </w:rPr>
        <w:t xml:space="preserve"> cost of common equity is 14%, its before-tax cost of debt is 10%, and its marginal tax rate is 40%. Assume that the firm’s long-term debt sells at par value. The firm’s total debt, which is the sum of the company’s short-term debt and long-term debt, equals $1,167. The firm has 576 shares of common stock outstanding that sell for $4.00 per share. Calculate Paulson’s WACC using market-value weights.</w:t>
      </w:r>
    </w:p>
    <w:p w14:paraId="31EC6377" w14:textId="77777777" w:rsidR="00532618" w:rsidRPr="00532618" w:rsidRDefault="00532618" w:rsidP="00971D64">
      <w:pPr>
        <w:spacing w:before="100" w:beforeAutospacing="1" w:after="100" w:afterAutospacing="1" w:line="120" w:lineRule="atLeast"/>
        <w:ind w:left="720"/>
        <w:rPr>
          <w:rFonts w:ascii="Times New Roman" w:eastAsia="Times New Roman" w:hAnsi="Times New Roman" w:cs="Times New Roman"/>
          <w:sz w:val="24"/>
          <w:szCs w:val="24"/>
        </w:rPr>
      </w:pPr>
      <w:r w:rsidRPr="00532618">
        <w:rPr>
          <w:rFonts w:ascii="Times New Roman" w:eastAsia="Times New Roman" w:hAnsi="Times New Roman" w:cs="Times New Roman"/>
          <w:noProof/>
          <w:sz w:val="24"/>
          <w:szCs w:val="24"/>
        </w:rPr>
        <mc:AlternateContent>
          <mc:Choice Requires="wps">
            <w:drawing>
              <wp:inline distT="0" distB="0" distL="0" distR="0" wp14:anchorId="48160CA1" wp14:editId="10EF6803">
                <wp:extent cx="5248275" cy="1114425"/>
                <wp:effectExtent l="0" t="0" r="0" b="0"/>
                <wp:docPr id="2" name="AutoShape 2" descr="Two tables one for Assets and other for Liabilities and Equity shows WACC. Table on left is for Assets. Entries in this table are as follows. First row: Cash, 120 dollars. Second row: Accounts receivable, 240. Third row: Inventories, 360. Fourth row: Plant and equipment, net, 2,160, single line. Fifth row: Total assets, 2,880 dollars, double line. Table on right side is for Liabilities and Equity. Entries in this table are as follows. First row: Accounts payable and accruals, 10 dollars. Second row: Short-term debt, 47. Third row: Long-term debt, 1,120. Fourth row: Common equity, 1,703, single line. Fifth row: Total liabilities and equity, 2,880 dollars, double 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82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8F22F" id="AutoShape 2" o:spid="_x0000_s1026" alt="Two tables one for Assets and other for Liabilities and Equity shows WACC. Table on left is for Assets. Entries in this table are as follows. First row: Cash, 120 dollars. Second row: Accounts receivable, 240. Third row: Inventories, 360. Fourth row: Plant and equipment, net, 2,160, single line. Fifth row: Total assets, 2,880 dollars, double line. Table on right side is for Liabilities and Equity. Entries in this table are as follows. First row: Accounts payable and accruals, 10 dollars. Second row: Short-term debt, 47. Third row: Long-term debt, 1,120. Fourth row: Common equity, 1,703, single line. Fifth row: Total liabilities and equity, 2,880 dollars, double line." style="width:413.2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" filled="f" stroked="f">
                <o:lock v:ext="edit" aspectratio="t"/>
                <w10:anchorlock/>
              </v:rect>
            </w:pict>
          </mc:Fallback>
        </mc:AlternateContent>
      </w:r>
    </w:p>
    <w:sectPr w:rsidR="00532618" w:rsidRPr="0053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C9D"/>
    <w:multiLevelType w:val="multilevel"/>
    <w:tmpl w:val="06C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233C4"/>
    <w:multiLevelType w:val="multilevel"/>
    <w:tmpl w:val="6136DB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C5DF1"/>
    <w:multiLevelType w:val="multilevel"/>
    <w:tmpl w:val="83F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41EBE"/>
    <w:multiLevelType w:val="multilevel"/>
    <w:tmpl w:val="222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A266A"/>
    <w:multiLevelType w:val="multilevel"/>
    <w:tmpl w:val="C7020B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18"/>
    <w:rsid w:val="004A13B7"/>
    <w:rsid w:val="00532618"/>
    <w:rsid w:val="00533611"/>
    <w:rsid w:val="0097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39AE"/>
  <w15:chartTrackingRefBased/>
  <w15:docId w15:val="{0D50C61E-E98F-4066-8B06-2751456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6112">
      <w:bodyDiv w:val="1"/>
      <w:marLeft w:val="0"/>
      <w:marRight w:val="0"/>
      <w:marTop w:val="0"/>
      <w:marBottom w:val="0"/>
      <w:divBdr>
        <w:top w:val="none" w:sz="0" w:space="0" w:color="auto"/>
        <w:left w:val="none" w:sz="0" w:space="0" w:color="auto"/>
        <w:bottom w:val="none" w:sz="0" w:space="0" w:color="auto"/>
        <w:right w:val="none" w:sz="0" w:space="0" w:color="auto"/>
      </w:divBdr>
      <w:divsChild>
        <w:div w:id="1695495439">
          <w:marLeft w:val="0"/>
          <w:marRight w:val="0"/>
          <w:marTop w:val="0"/>
          <w:marBottom w:val="0"/>
          <w:divBdr>
            <w:top w:val="none" w:sz="0" w:space="0" w:color="auto"/>
            <w:left w:val="none" w:sz="0" w:space="0" w:color="auto"/>
            <w:bottom w:val="none" w:sz="0" w:space="0" w:color="auto"/>
            <w:right w:val="none" w:sz="0" w:space="0" w:color="auto"/>
          </w:divBdr>
          <w:divsChild>
            <w:div w:id="1650817759">
              <w:marLeft w:val="0"/>
              <w:marRight w:val="0"/>
              <w:marTop w:val="0"/>
              <w:marBottom w:val="0"/>
              <w:divBdr>
                <w:top w:val="none" w:sz="0" w:space="0" w:color="auto"/>
                <w:left w:val="none" w:sz="0" w:space="0" w:color="auto"/>
                <w:bottom w:val="none" w:sz="0" w:space="0" w:color="auto"/>
                <w:right w:val="none" w:sz="0" w:space="0" w:color="auto"/>
              </w:divBdr>
            </w:div>
            <w:div w:id="2087722903">
              <w:marLeft w:val="0"/>
              <w:marRight w:val="0"/>
              <w:marTop w:val="0"/>
              <w:marBottom w:val="0"/>
              <w:divBdr>
                <w:top w:val="none" w:sz="0" w:space="0" w:color="auto"/>
                <w:left w:val="none" w:sz="0" w:space="0" w:color="auto"/>
                <w:bottom w:val="none" w:sz="0" w:space="0" w:color="auto"/>
                <w:right w:val="none" w:sz="0" w:space="0" w:color="auto"/>
              </w:divBdr>
              <w:divsChild>
                <w:div w:id="935022439">
                  <w:marLeft w:val="105"/>
                  <w:marRight w:val="0"/>
                  <w:marTop w:val="0"/>
                  <w:marBottom w:val="0"/>
                  <w:divBdr>
                    <w:top w:val="single" w:sz="6" w:space="4" w:color="067C62"/>
                    <w:left w:val="single" w:sz="6" w:space="9" w:color="067C62"/>
                    <w:bottom w:val="single" w:sz="6" w:space="4" w:color="067C62"/>
                    <w:right w:val="single" w:sz="6" w:space="9" w:color="067C62"/>
                  </w:divBdr>
                </w:div>
                <w:div w:id="1150487512">
                  <w:marLeft w:val="0"/>
                  <w:marRight w:val="0"/>
                  <w:marTop w:val="0"/>
                  <w:marBottom w:val="0"/>
                  <w:divBdr>
                    <w:top w:val="none" w:sz="0" w:space="0" w:color="auto"/>
                    <w:left w:val="none" w:sz="0" w:space="0" w:color="auto"/>
                    <w:bottom w:val="none" w:sz="0" w:space="0" w:color="auto"/>
                    <w:right w:val="none" w:sz="0" w:space="0" w:color="auto"/>
                  </w:divBdr>
                </w:div>
                <w:div w:id="83960344">
                  <w:marLeft w:val="0"/>
                  <w:marRight w:val="0"/>
                  <w:marTop w:val="150"/>
                  <w:marBottom w:val="150"/>
                  <w:divBdr>
                    <w:top w:val="single" w:sz="48" w:space="8" w:color="F2F2F2"/>
                    <w:left w:val="single" w:sz="48" w:space="8" w:color="F2F2F2"/>
                    <w:bottom w:val="single" w:sz="48" w:space="11" w:color="F2F2F2"/>
                    <w:right w:val="single" w:sz="48" w:space="8" w:color="F2F2F2"/>
                  </w:divBdr>
                </w:div>
              </w:divsChild>
            </w:div>
          </w:divsChild>
        </w:div>
        <w:div w:id="2093351615">
          <w:marLeft w:val="0"/>
          <w:marRight w:val="0"/>
          <w:marTop w:val="0"/>
          <w:marBottom w:val="0"/>
          <w:divBdr>
            <w:top w:val="none" w:sz="0" w:space="0" w:color="auto"/>
            <w:left w:val="none" w:sz="0" w:space="0" w:color="auto"/>
            <w:bottom w:val="none" w:sz="0" w:space="0" w:color="auto"/>
            <w:right w:val="none" w:sz="0" w:space="0" w:color="auto"/>
          </w:divBdr>
          <w:divsChild>
            <w:div w:id="1553686109">
              <w:marLeft w:val="0"/>
              <w:marRight w:val="0"/>
              <w:marTop w:val="0"/>
              <w:marBottom w:val="0"/>
              <w:divBdr>
                <w:top w:val="none" w:sz="0" w:space="0" w:color="auto"/>
                <w:left w:val="none" w:sz="0" w:space="0" w:color="auto"/>
                <w:bottom w:val="none" w:sz="0" w:space="0" w:color="auto"/>
                <w:right w:val="none" w:sz="0" w:space="0" w:color="auto"/>
              </w:divBdr>
            </w:div>
            <w:div w:id="1666277160">
              <w:marLeft w:val="0"/>
              <w:marRight w:val="0"/>
              <w:marTop w:val="0"/>
              <w:marBottom w:val="0"/>
              <w:divBdr>
                <w:top w:val="none" w:sz="0" w:space="0" w:color="auto"/>
                <w:left w:val="none" w:sz="0" w:space="0" w:color="auto"/>
                <w:bottom w:val="none" w:sz="0" w:space="0" w:color="auto"/>
                <w:right w:val="none" w:sz="0" w:space="0" w:color="auto"/>
              </w:divBdr>
            </w:div>
            <w:div w:id="781923598">
              <w:marLeft w:val="0"/>
              <w:marRight w:val="0"/>
              <w:marTop w:val="0"/>
              <w:marBottom w:val="0"/>
              <w:divBdr>
                <w:top w:val="none" w:sz="0" w:space="0" w:color="auto"/>
                <w:left w:val="none" w:sz="0" w:space="0" w:color="auto"/>
                <w:bottom w:val="none" w:sz="0" w:space="0" w:color="auto"/>
                <w:right w:val="none" w:sz="0" w:space="0" w:color="auto"/>
              </w:divBdr>
              <w:divsChild>
                <w:div w:id="671184117">
                  <w:marLeft w:val="0"/>
                  <w:marRight w:val="0"/>
                  <w:marTop w:val="0"/>
                  <w:marBottom w:val="0"/>
                  <w:divBdr>
                    <w:top w:val="none" w:sz="0" w:space="0" w:color="auto"/>
                    <w:left w:val="none" w:sz="0" w:space="0" w:color="auto"/>
                    <w:bottom w:val="none" w:sz="0" w:space="0" w:color="auto"/>
                    <w:right w:val="none" w:sz="0" w:space="0" w:color="auto"/>
                  </w:divBdr>
                </w:div>
                <w:div w:id="97337524">
                  <w:marLeft w:val="0"/>
                  <w:marRight w:val="0"/>
                  <w:marTop w:val="0"/>
                  <w:marBottom w:val="0"/>
                  <w:divBdr>
                    <w:top w:val="none" w:sz="0" w:space="0" w:color="auto"/>
                    <w:left w:val="none" w:sz="0" w:space="0" w:color="auto"/>
                    <w:bottom w:val="none" w:sz="0" w:space="0" w:color="auto"/>
                    <w:right w:val="none" w:sz="0" w:space="0" w:color="auto"/>
                  </w:divBdr>
                </w:div>
                <w:div w:id="1406030639">
                  <w:marLeft w:val="105"/>
                  <w:marRight w:val="0"/>
                  <w:marTop w:val="0"/>
                  <w:marBottom w:val="0"/>
                  <w:divBdr>
                    <w:top w:val="single" w:sz="6" w:space="4" w:color="067C62"/>
                    <w:left w:val="single" w:sz="6" w:space="9" w:color="067C62"/>
                    <w:bottom w:val="single" w:sz="6" w:space="4" w:color="067C62"/>
                    <w:right w:val="single" w:sz="6" w:space="9" w:color="067C62"/>
                  </w:divBdr>
                </w:div>
                <w:div w:id="1494831611">
                  <w:marLeft w:val="105"/>
                  <w:marRight w:val="0"/>
                  <w:marTop w:val="0"/>
                  <w:marBottom w:val="0"/>
                  <w:divBdr>
                    <w:top w:val="single" w:sz="6" w:space="4" w:color="067C62"/>
                    <w:left w:val="single" w:sz="6" w:space="9" w:color="067C62"/>
                    <w:bottom w:val="single" w:sz="6" w:space="4" w:color="067C62"/>
                    <w:right w:val="single" w:sz="6" w:space="9" w:color="067C6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8E30-DD95-4099-8364-1AAA1FF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Mitenko</dc:creator>
  <cp:keywords/>
  <dc:description/>
  <cp:lastModifiedBy>Graham Mitenko</cp:lastModifiedBy>
  <cp:revision>3</cp:revision>
  <dcterms:created xsi:type="dcterms:W3CDTF">2021-10-01T07:19:00Z</dcterms:created>
  <dcterms:modified xsi:type="dcterms:W3CDTF">2021-10-01T07:32:00Z</dcterms:modified>
</cp:coreProperties>
</file>