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27" w:rsidRDefault="00743927" w:rsidP="00743927">
      <w:pPr>
        <w:rPr>
          <w:sz w:val="24"/>
        </w:rPr>
      </w:pPr>
      <w:r>
        <w:rPr>
          <w:sz w:val="24"/>
        </w:rPr>
        <w:t>Aalto-yliopiston kauppakorkeakoulu</w:t>
      </w:r>
      <w:r>
        <w:rPr>
          <w:sz w:val="24"/>
        </w:rPr>
        <w:tab/>
      </w:r>
      <w:r>
        <w:rPr>
          <w:sz w:val="24"/>
        </w:rPr>
        <w:tab/>
      </w:r>
      <w:r>
        <w:rPr>
          <w:sz w:val="24"/>
        </w:rPr>
        <w:tab/>
      </w:r>
      <w:r>
        <w:rPr>
          <w:b/>
          <w:sz w:val="24"/>
        </w:rPr>
        <w:t xml:space="preserve">Tentti </w:t>
      </w:r>
      <w:r w:rsidR="00CA1BBA">
        <w:rPr>
          <w:b/>
          <w:sz w:val="24"/>
        </w:rPr>
        <w:t>30.8.2021</w:t>
      </w:r>
    </w:p>
    <w:p w:rsidR="00743927" w:rsidRPr="00CA1BBA" w:rsidRDefault="00EF0237" w:rsidP="00743927">
      <w:pPr>
        <w:rPr>
          <w:sz w:val="24"/>
        </w:rPr>
      </w:pPr>
      <w:r>
        <w:rPr>
          <w:sz w:val="24"/>
        </w:rPr>
        <w:t>Kirjanpito (A22C0010</w:t>
      </w:r>
      <w:r w:rsidR="00743927" w:rsidRPr="001B79B1">
        <w:rPr>
          <w:sz w:val="24"/>
        </w:rPr>
        <w:t>0)</w:t>
      </w:r>
      <w:r w:rsidR="00CA1BBA">
        <w:rPr>
          <w:sz w:val="24"/>
        </w:rPr>
        <w:tab/>
      </w:r>
      <w:r w:rsidR="00CA1BBA">
        <w:rPr>
          <w:sz w:val="24"/>
        </w:rPr>
        <w:tab/>
      </w:r>
      <w:r w:rsidR="00CA1BBA">
        <w:rPr>
          <w:sz w:val="24"/>
        </w:rPr>
        <w:tab/>
      </w:r>
      <w:r w:rsidR="00CA1BBA">
        <w:rPr>
          <w:sz w:val="24"/>
        </w:rPr>
        <w:tab/>
        <w:t>kello 17:00 – 19:00</w:t>
      </w:r>
      <w:bookmarkStart w:id="0" w:name="_GoBack"/>
      <w:bookmarkEnd w:id="0"/>
    </w:p>
    <w:p w:rsidR="00743927" w:rsidRDefault="00743927" w:rsidP="00743927">
      <w:pPr>
        <w:rPr>
          <w:sz w:val="24"/>
        </w:rPr>
      </w:pPr>
      <w:r>
        <w:rPr>
          <w:sz w:val="24"/>
        </w:rPr>
        <w:t xml:space="preserve">Avoin yliopisto, </w:t>
      </w:r>
      <w:r w:rsidR="00CA1BBA">
        <w:rPr>
          <w:sz w:val="24"/>
        </w:rPr>
        <w:t>kesä 2021</w:t>
      </w:r>
    </w:p>
    <w:p w:rsidR="00743927" w:rsidRDefault="00743927" w:rsidP="00743927">
      <w:pPr>
        <w:rPr>
          <w:sz w:val="24"/>
        </w:rPr>
      </w:pPr>
      <w:r>
        <w:rPr>
          <w:sz w:val="24"/>
        </w:rPr>
        <w:t>Juha Viljaranta</w:t>
      </w:r>
      <w:r w:rsidR="009629B6">
        <w:rPr>
          <w:sz w:val="24"/>
        </w:rPr>
        <w:tab/>
      </w:r>
      <w:r w:rsidR="009629B6">
        <w:rPr>
          <w:sz w:val="24"/>
        </w:rPr>
        <w:tab/>
      </w:r>
      <w:r w:rsidR="009629B6">
        <w:rPr>
          <w:sz w:val="24"/>
        </w:rPr>
        <w:tab/>
      </w:r>
      <w:r w:rsidR="009629B6">
        <w:rPr>
          <w:sz w:val="24"/>
        </w:rPr>
        <w:tab/>
        <w:t>_____________________</w:t>
      </w:r>
    </w:p>
    <w:p w:rsidR="00743927" w:rsidRDefault="00EF0237" w:rsidP="00743927">
      <w:pPr>
        <w:rPr>
          <w:sz w:val="24"/>
        </w:rPr>
      </w:pPr>
      <w:r>
        <w:rPr>
          <w:sz w:val="24"/>
        </w:rPr>
        <w:tab/>
      </w:r>
      <w:r>
        <w:rPr>
          <w:sz w:val="24"/>
        </w:rPr>
        <w:tab/>
      </w:r>
      <w:r>
        <w:rPr>
          <w:sz w:val="24"/>
        </w:rPr>
        <w:tab/>
      </w:r>
      <w:r>
        <w:rPr>
          <w:sz w:val="24"/>
        </w:rPr>
        <w:tab/>
      </w:r>
      <w:r>
        <w:rPr>
          <w:sz w:val="24"/>
        </w:rPr>
        <w:tab/>
        <w:t>opiskelija</w:t>
      </w:r>
    </w:p>
    <w:p w:rsidR="0089112D" w:rsidRDefault="0089112D" w:rsidP="00743927">
      <w:pPr>
        <w:rPr>
          <w:sz w:val="24"/>
        </w:rPr>
      </w:pPr>
    </w:p>
    <w:p w:rsidR="0089112D" w:rsidRDefault="0089112D" w:rsidP="00743927">
      <w:pPr>
        <w:rPr>
          <w:sz w:val="24"/>
        </w:rPr>
      </w:pPr>
      <w:r>
        <w:rPr>
          <w:sz w:val="24"/>
        </w:rPr>
        <w:t xml:space="preserve">Vastaa seuraaviin väittämiin merkitsemällä oheiseen vastaustaulukkoon rasti kohtaan ”oikein” tai ”väärin”. Oikeasta vastauksesta saa +2 pistettä, väärästä vastauksesta -1 pistettä ja vastaamatta jättämisestä nolla pistettä. Tentin maksimipistemäärä on 100. Tentissä saa käyttää apuna haluamaansa materiaalia. Neuvon kysyminen muulta henkilöltä tenttiä suoritettaessa ei ole kuitenkaan sallittua. Vastaustiedosto pitää palauttaa muodossa PDF tai </w:t>
      </w:r>
      <w:proofErr w:type="spellStart"/>
      <w:r>
        <w:rPr>
          <w:sz w:val="24"/>
        </w:rPr>
        <w:t>MS-Word</w:t>
      </w:r>
      <w:proofErr w:type="spellEnd"/>
      <w:r>
        <w:rPr>
          <w:sz w:val="24"/>
        </w:rPr>
        <w:t>.</w:t>
      </w:r>
    </w:p>
    <w:p w:rsidR="00743927" w:rsidRDefault="00743927" w:rsidP="00743927">
      <w:pPr>
        <w:rPr>
          <w:sz w:val="24"/>
        </w:rPr>
      </w:pPr>
    </w:p>
    <w:p w:rsidR="00743927" w:rsidRDefault="00743927" w:rsidP="00743927">
      <w:pPr>
        <w:rPr>
          <w:sz w:val="24"/>
        </w:rPr>
      </w:pPr>
    </w:p>
    <w:tbl>
      <w:tblPr>
        <w:tblStyle w:val="TaulukkoRuudukko"/>
        <w:tblW w:w="0" w:type="auto"/>
        <w:tblLayout w:type="fixed"/>
        <w:tblLook w:val="04A0" w:firstRow="1" w:lastRow="0" w:firstColumn="1" w:lastColumn="0" w:noHBand="0" w:noVBand="1"/>
      </w:tblPr>
      <w:tblGrid>
        <w:gridCol w:w="1242"/>
        <w:gridCol w:w="639"/>
        <w:gridCol w:w="701"/>
        <w:gridCol w:w="701"/>
        <w:gridCol w:w="700"/>
        <w:gridCol w:w="701"/>
        <w:gridCol w:w="701"/>
        <w:gridCol w:w="700"/>
        <w:gridCol w:w="701"/>
        <w:gridCol w:w="701"/>
        <w:gridCol w:w="701"/>
      </w:tblGrid>
      <w:tr w:rsidR="009629B6" w:rsidTr="009629B6">
        <w:tc>
          <w:tcPr>
            <w:tcW w:w="1242" w:type="dxa"/>
          </w:tcPr>
          <w:p w:rsidR="009629B6" w:rsidRDefault="009629B6" w:rsidP="00743927">
            <w:pPr>
              <w:rPr>
                <w:sz w:val="24"/>
              </w:rPr>
            </w:pPr>
          </w:p>
        </w:tc>
        <w:tc>
          <w:tcPr>
            <w:tcW w:w="639" w:type="dxa"/>
          </w:tcPr>
          <w:p w:rsidR="009629B6" w:rsidRDefault="009629B6" w:rsidP="00743927">
            <w:pPr>
              <w:rPr>
                <w:sz w:val="24"/>
              </w:rPr>
            </w:pPr>
            <w:r>
              <w:rPr>
                <w:sz w:val="24"/>
              </w:rPr>
              <w:t>1</w:t>
            </w:r>
          </w:p>
        </w:tc>
        <w:tc>
          <w:tcPr>
            <w:tcW w:w="701" w:type="dxa"/>
          </w:tcPr>
          <w:p w:rsidR="009629B6" w:rsidRDefault="009629B6" w:rsidP="00743927">
            <w:pPr>
              <w:rPr>
                <w:sz w:val="24"/>
              </w:rPr>
            </w:pPr>
            <w:r>
              <w:rPr>
                <w:sz w:val="24"/>
              </w:rPr>
              <w:t>2</w:t>
            </w:r>
          </w:p>
        </w:tc>
        <w:tc>
          <w:tcPr>
            <w:tcW w:w="701" w:type="dxa"/>
          </w:tcPr>
          <w:p w:rsidR="009629B6" w:rsidRDefault="009629B6" w:rsidP="00743927">
            <w:pPr>
              <w:rPr>
                <w:sz w:val="24"/>
              </w:rPr>
            </w:pPr>
            <w:r>
              <w:rPr>
                <w:sz w:val="24"/>
              </w:rPr>
              <w:t>3</w:t>
            </w:r>
          </w:p>
        </w:tc>
        <w:tc>
          <w:tcPr>
            <w:tcW w:w="700" w:type="dxa"/>
          </w:tcPr>
          <w:p w:rsidR="009629B6" w:rsidRDefault="009629B6" w:rsidP="00743927">
            <w:pPr>
              <w:rPr>
                <w:sz w:val="24"/>
              </w:rPr>
            </w:pPr>
            <w:r>
              <w:rPr>
                <w:sz w:val="24"/>
              </w:rPr>
              <w:t>4</w:t>
            </w:r>
          </w:p>
        </w:tc>
        <w:tc>
          <w:tcPr>
            <w:tcW w:w="701" w:type="dxa"/>
          </w:tcPr>
          <w:p w:rsidR="009629B6" w:rsidRDefault="009629B6" w:rsidP="00743927">
            <w:pPr>
              <w:rPr>
                <w:sz w:val="24"/>
              </w:rPr>
            </w:pPr>
            <w:r>
              <w:rPr>
                <w:sz w:val="24"/>
              </w:rPr>
              <w:t>5</w:t>
            </w:r>
          </w:p>
        </w:tc>
        <w:tc>
          <w:tcPr>
            <w:tcW w:w="701" w:type="dxa"/>
          </w:tcPr>
          <w:p w:rsidR="009629B6" w:rsidRDefault="009629B6" w:rsidP="00743927">
            <w:pPr>
              <w:rPr>
                <w:sz w:val="24"/>
              </w:rPr>
            </w:pPr>
            <w:r>
              <w:rPr>
                <w:sz w:val="24"/>
              </w:rPr>
              <w:t>6</w:t>
            </w:r>
          </w:p>
        </w:tc>
        <w:tc>
          <w:tcPr>
            <w:tcW w:w="700" w:type="dxa"/>
          </w:tcPr>
          <w:p w:rsidR="009629B6" w:rsidRDefault="009629B6" w:rsidP="00743927">
            <w:pPr>
              <w:rPr>
                <w:sz w:val="24"/>
              </w:rPr>
            </w:pPr>
            <w:r>
              <w:rPr>
                <w:sz w:val="24"/>
              </w:rPr>
              <w:t>7</w:t>
            </w:r>
          </w:p>
        </w:tc>
        <w:tc>
          <w:tcPr>
            <w:tcW w:w="701" w:type="dxa"/>
          </w:tcPr>
          <w:p w:rsidR="009629B6" w:rsidRDefault="009629B6" w:rsidP="00743927">
            <w:pPr>
              <w:rPr>
                <w:sz w:val="24"/>
              </w:rPr>
            </w:pPr>
            <w:r>
              <w:rPr>
                <w:sz w:val="24"/>
              </w:rPr>
              <w:t>8</w:t>
            </w:r>
          </w:p>
        </w:tc>
        <w:tc>
          <w:tcPr>
            <w:tcW w:w="701" w:type="dxa"/>
          </w:tcPr>
          <w:p w:rsidR="009629B6" w:rsidRDefault="009629B6" w:rsidP="00743927">
            <w:pPr>
              <w:rPr>
                <w:sz w:val="24"/>
              </w:rPr>
            </w:pPr>
            <w:r>
              <w:rPr>
                <w:sz w:val="24"/>
              </w:rPr>
              <w:t>9</w:t>
            </w:r>
          </w:p>
        </w:tc>
        <w:tc>
          <w:tcPr>
            <w:tcW w:w="701" w:type="dxa"/>
          </w:tcPr>
          <w:p w:rsidR="009629B6" w:rsidRDefault="009629B6" w:rsidP="00743927">
            <w:pPr>
              <w:rPr>
                <w:sz w:val="24"/>
              </w:rPr>
            </w:pPr>
            <w:r>
              <w:rPr>
                <w:sz w:val="24"/>
              </w:rPr>
              <w:t>10</w:t>
            </w:r>
          </w:p>
        </w:tc>
      </w:tr>
      <w:tr w:rsidR="009629B6" w:rsidTr="009629B6">
        <w:tc>
          <w:tcPr>
            <w:tcW w:w="1242" w:type="dxa"/>
          </w:tcPr>
          <w:p w:rsidR="009629B6" w:rsidRDefault="009629B6" w:rsidP="00743927">
            <w:pPr>
              <w:rPr>
                <w:sz w:val="24"/>
              </w:rPr>
            </w:pPr>
            <w:r>
              <w:rPr>
                <w:sz w:val="24"/>
              </w:rPr>
              <w:t>Oikein</w:t>
            </w:r>
          </w:p>
        </w:tc>
        <w:tc>
          <w:tcPr>
            <w:tcW w:w="639"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0"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0"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1" w:type="dxa"/>
          </w:tcPr>
          <w:p w:rsidR="009629B6" w:rsidRDefault="009629B6" w:rsidP="004F20E2">
            <w:pPr>
              <w:jc w:val="center"/>
              <w:rPr>
                <w:sz w:val="24"/>
              </w:rPr>
            </w:pPr>
          </w:p>
        </w:tc>
      </w:tr>
      <w:tr w:rsidR="009629B6" w:rsidTr="009629B6">
        <w:tc>
          <w:tcPr>
            <w:tcW w:w="1242" w:type="dxa"/>
          </w:tcPr>
          <w:p w:rsidR="009629B6" w:rsidRDefault="009629B6" w:rsidP="00743927">
            <w:pPr>
              <w:rPr>
                <w:sz w:val="24"/>
              </w:rPr>
            </w:pPr>
            <w:r>
              <w:rPr>
                <w:sz w:val="24"/>
              </w:rPr>
              <w:t>Väärin</w:t>
            </w:r>
          </w:p>
        </w:tc>
        <w:tc>
          <w:tcPr>
            <w:tcW w:w="639"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0"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0"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1" w:type="dxa"/>
          </w:tcPr>
          <w:p w:rsidR="009629B6" w:rsidRDefault="009629B6" w:rsidP="004F20E2">
            <w:pPr>
              <w:jc w:val="center"/>
              <w:rPr>
                <w:sz w:val="24"/>
              </w:rPr>
            </w:pPr>
          </w:p>
        </w:tc>
      </w:tr>
    </w:tbl>
    <w:p w:rsidR="00743927" w:rsidRDefault="00743927" w:rsidP="00743927">
      <w:pPr>
        <w:rPr>
          <w:sz w:val="24"/>
          <w:szCs w:val="24"/>
        </w:rPr>
      </w:pPr>
    </w:p>
    <w:tbl>
      <w:tblPr>
        <w:tblStyle w:val="TaulukkoRuudukko"/>
        <w:tblW w:w="0" w:type="auto"/>
        <w:tblLook w:val="04A0" w:firstRow="1" w:lastRow="0" w:firstColumn="1" w:lastColumn="0" w:noHBand="0" w:noVBand="1"/>
      </w:tblPr>
      <w:tblGrid>
        <w:gridCol w:w="1271"/>
        <w:gridCol w:w="691"/>
        <w:gridCol w:w="692"/>
        <w:gridCol w:w="692"/>
        <w:gridCol w:w="691"/>
        <w:gridCol w:w="692"/>
        <w:gridCol w:w="692"/>
        <w:gridCol w:w="691"/>
        <w:gridCol w:w="692"/>
        <w:gridCol w:w="692"/>
        <w:gridCol w:w="692"/>
      </w:tblGrid>
      <w:tr w:rsidR="009629B6" w:rsidTr="009629B6">
        <w:tc>
          <w:tcPr>
            <w:tcW w:w="1271" w:type="dxa"/>
          </w:tcPr>
          <w:p w:rsidR="009629B6" w:rsidRDefault="009629B6" w:rsidP="002412AA">
            <w:pPr>
              <w:rPr>
                <w:sz w:val="24"/>
              </w:rPr>
            </w:pPr>
          </w:p>
        </w:tc>
        <w:tc>
          <w:tcPr>
            <w:tcW w:w="691" w:type="dxa"/>
          </w:tcPr>
          <w:p w:rsidR="009629B6" w:rsidRDefault="009629B6" w:rsidP="002412AA">
            <w:pPr>
              <w:rPr>
                <w:sz w:val="24"/>
              </w:rPr>
            </w:pPr>
            <w:r>
              <w:rPr>
                <w:sz w:val="24"/>
              </w:rPr>
              <w:t>11</w:t>
            </w:r>
          </w:p>
        </w:tc>
        <w:tc>
          <w:tcPr>
            <w:tcW w:w="692" w:type="dxa"/>
          </w:tcPr>
          <w:p w:rsidR="009629B6" w:rsidRDefault="009629B6" w:rsidP="002412AA">
            <w:pPr>
              <w:rPr>
                <w:sz w:val="24"/>
              </w:rPr>
            </w:pPr>
            <w:r>
              <w:rPr>
                <w:sz w:val="24"/>
              </w:rPr>
              <w:t>12</w:t>
            </w:r>
          </w:p>
        </w:tc>
        <w:tc>
          <w:tcPr>
            <w:tcW w:w="692" w:type="dxa"/>
          </w:tcPr>
          <w:p w:rsidR="009629B6" w:rsidRDefault="009629B6" w:rsidP="002412AA">
            <w:pPr>
              <w:rPr>
                <w:sz w:val="24"/>
              </w:rPr>
            </w:pPr>
            <w:r>
              <w:rPr>
                <w:sz w:val="24"/>
              </w:rPr>
              <w:t>13</w:t>
            </w:r>
          </w:p>
        </w:tc>
        <w:tc>
          <w:tcPr>
            <w:tcW w:w="691" w:type="dxa"/>
          </w:tcPr>
          <w:p w:rsidR="009629B6" w:rsidRDefault="009629B6" w:rsidP="002412AA">
            <w:pPr>
              <w:rPr>
                <w:sz w:val="24"/>
              </w:rPr>
            </w:pPr>
            <w:r>
              <w:rPr>
                <w:sz w:val="24"/>
              </w:rPr>
              <w:t>14</w:t>
            </w:r>
          </w:p>
        </w:tc>
        <w:tc>
          <w:tcPr>
            <w:tcW w:w="692" w:type="dxa"/>
          </w:tcPr>
          <w:p w:rsidR="009629B6" w:rsidRDefault="009629B6" w:rsidP="002412AA">
            <w:pPr>
              <w:rPr>
                <w:sz w:val="24"/>
              </w:rPr>
            </w:pPr>
            <w:r>
              <w:rPr>
                <w:sz w:val="24"/>
              </w:rPr>
              <w:t>15</w:t>
            </w:r>
          </w:p>
        </w:tc>
        <w:tc>
          <w:tcPr>
            <w:tcW w:w="692" w:type="dxa"/>
          </w:tcPr>
          <w:p w:rsidR="009629B6" w:rsidRDefault="009629B6" w:rsidP="002412AA">
            <w:pPr>
              <w:rPr>
                <w:sz w:val="24"/>
              </w:rPr>
            </w:pPr>
            <w:r>
              <w:rPr>
                <w:sz w:val="24"/>
              </w:rPr>
              <w:t>16</w:t>
            </w:r>
          </w:p>
        </w:tc>
        <w:tc>
          <w:tcPr>
            <w:tcW w:w="691" w:type="dxa"/>
          </w:tcPr>
          <w:p w:rsidR="009629B6" w:rsidRDefault="009629B6" w:rsidP="002412AA">
            <w:pPr>
              <w:rPr>
                <w:sz w:val="24"/>
              </w:rPr>
            </w:pPr>
            <w:r>
              <w:rPr>
                <w:sz w:val="24"/>
              </w:rPr>
              <w:t>17</w:t>
            </w:r>
          </w:p>
        </w:tc>
        <w:tc>
          <w:tcPr>
            <w:tcW w:w="692" w:type="dxa"/>
          </w:tcPr>
          <w:p w:rsidR="009629B6" w:rsidRDefault="009629B6" w:rsidP="002412AA">
            <w:pPr>
              <w:rPr>
                <w:sz w:val="24"/>
              </w:rPr>
            </w:pPr>
            <w:r>
              <w:rPr>
                <w:sz w:val="24"/>
              </w:rPr>
              <w:t>18</w:t>
            </w:r>
          </w:p>
        </w:tc>
        <w:tc>
          <w:tcPr>
            <w:tcW w:w="692" w:type="dxa"/>
          </w:tcPr>
          <w:p w:rsidR="009629B6" w:rsidRDefault="009629B6" w:rsidP="002412AA">
            <w:pPr>
              <w:rPr>
                <w:sz w:val="24"/>
              </w:rPr>
            </w:pPr>
            <w:r>
              <w:rPr>
                <w:sz w:val="24"/>
              </w:rPr>
              <w:t>19</w:t>
            </w:r>
          </w:p>
        </w:tc>
        <w:tc>
          <w:tcPr>
            <w:tcW w:w="692" w:type="dxa"/>
          </w:tcPr>
          <w:p w:rsidR="009629B6" w:rsidRDefault="009629B6" w:rsidP="002412AA">
            <w:pPr>
              <w:rPr>
                <w:sz w:val="24"/>
              </w:rPr>
            </w:pPr>
            <w:r>
              <w:rPr>
                <w:sz w:val="24"/>
              </w:rPr>
              <w:t>20</w:t>
            </w:r>
          </w:p>
        </w:tc>
      </w:tr>
      <w:tr w:rsidR="009629B6" w:rsidTr="009629B6">
        <w:tc>
          <w:tcPr>
            <w:tcW w:w="1271" w:type="dxa"/>
          </w:tcPr>
          <w:p w:rsidR="009629B6" w:rsidRDefault="009629B6" w:rsidP="002412AA">
            <w:pPr>
              <w:rPr>
                <w:sz w:val="24"/>
              </w:rPr>
            </w:pPr>
            <w:r>
              <w:rPr>
                <w:sz w:val="24"/>
              </w:rPr>
              <w:t>Oikein</w:t>
            </w: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r>
      <w:tr w:rsidR="009629B6" w:rsidTr="009629B6">
        <w:tc>
          <w:tcPr>
            <w:tcW w:w="1271" w:type="dxa"/>
          </w:tcPr>
          <w:p w:rsidR="009629B6" w:rsidRDefault="009629B6" w:rsidP="002412AA">
            <w:pPr>
              <w:rPr>
                <w:sz w:val="24"/>
              </w:rPr>
            </w:pPr>
            <w:r>
              <w:rPr>
                <w:sz w:val="24"/>
              </w:rPr>
              <w:t>Väärin</w:t>
            </w: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r>
    </w:tbl>
    <w:p w:rsidR="009629B6" w:rsidRDefault="009629B6" w:rsidP="00743927">
      <w:pPr>
        <w:rPr>
          <w:sz w:val="24"/>
          <w:szCs w:val="24"/>
        </w:rPr>
      </w:pPr>
    </w:p>
    <w:tbl>
      <w:tblPr>
        <w:tblStyle w:val="TaulukkoRuudukko"/>
        <w:tblW w:w="0" w:type="auto"/>
        <w:tblLook w:val="04A0" w:firstRow="1" w:lastRow="0" w:firstColumn="1" w:lastColumn="0" w:noHBand="0" w:noVBand="1"/>
      </w:tblPr>
      <w:tblGrid>
        <w:gridCol w:w="1271"/>
        <w:gridCol w:w="691"/>
        <w:gridCol w:w="692"/>
        <w:gridCol w:w="692"/>
        <w:gridCol w:w="691"/>
        <w:gridCol w:w="692"/>
        <w:gridCol w:w="692"/>
        <w:gridCol w:w="691"/>
        <w:gridCol w:w="692"/>
        <w:gridCol w:w="692"/>
        <w:gridCol w:w="692"/>
      </w:tblGrid>
      <w:tr w:rsidR="009629B6" w:rsidTr="002412AA">
        <w:tc>
          <w:tcPr>
            <w:tcW w:w="1271" w:type="dxa"/>
          </w:tcPr>
          <w:p w:rsidR="009629B6" w:rsidRDefault="009629B6" w:rsidP="002412AA">
            <w:pPr>
              <w:rPr>
                <w:sz w:val="24"/>
              </w:rPr>
            </w:pPr>
          </w:p>
        </w:tc>
        <w:tc>
          <w:tcPr>
            <w:tcW w:w="691" w:type="dxa"/>
          </w:tcPr>
          <w:p w:rsidR="009629B6" w:rsidRDefault="009629B6" w:rsidP="002412AA">
            <w:pPr>
              <w:rPr>
                <w:sz w:val="24"/>
              </w:rPr>
            </w:pPr>
            <w:r>
              <w:rPr>
                <w:sz w:val="24"/>
              </w:rPr>
              <w:t>21</w:t>
            </w:r>
          </w:p>
        </w:tc>
        <w:tc>
          <w:tcPr>
            <w:tcW w:w="692" w:type="dxa"/>
          </w:tcPr>
          <w:p w:rsidR="009629B6" w:rsidRDefault="009629B6" w:rsidP="002412AA">
            <w:pPr>
              <w:rPr>
                <w:sz w:val="24"/>
              </w:rPr>
            </w:pPr>
            <w:r>
              <w:rPr>
                <w:sz w:val="24"/>
              </w:rPr>
              <w:t>22</w:t>
            </w:r>
          </w:p>
        </w:tc>
        <w:tc>
          <w:tcPr>
            <w:tcW w:w="692" w:type="dxa"/>
          </w:tcPr>
          <w:p w:rsidR="009629B6" w:rsidRDefault="009629B6" w:rsidP="002412AA">
            <w:pPr>
              <w:rPr>
                <w:sz w:val="24"/>
              </w:rPr>
            </w:pPr>
            <w:r>
              <w:rPr>
                <w:sz w:val="24"/>
              </w:rPr>
              <w:t>23</w:t>
            </w:r>
          </w:p>
        </w:tc>
        <w:tc>
          <w:tcPr>
            <w:tcW w:w="691" w:type="dxa"/>
          </w:tcPr>
          <w:p w:rsidR="009629B6" w:rsidRDefault="009629B6" w:rsidP="002412AA">
            <w:pPr>
              <w:rPr>
                <w:sz w:val="24"/>
              </w:rPr>
            </w:pPr>
            <w:r>
              <w:rPr>
                <w:sz w:val="24"/>
              </w:rPr>
              <w:t>24</w:t>
            </w:r>
          </w:p>
        </w:tc>
        <w:tc>
          <w:tcPr>
            <w:tcW w:w="692" w:type="dxa"/>
          </w:tcPr>
          <w:p w:rsidR="009629B6" w:rsidRDefault="009629B6" w:rsidP="002412AA">
            <w:pPr>
              <w:rPr>
                <w:sz w:val="24"/>
              </w:rPr>
            </w:pPr>
            <w:r>
              <w:rPr>
                <w:sz w:val="24"/>
              </w:rPr>
              <w:t>25</w:t>
            </w:r>
          </w:p>
        </w:tc>
        <w:tc>
          <w:tcPr>
            <w:tcW w:w="692" w:type="dxa"/>
          </w:tcPr>
          <w:p w:rsidR="009629B6" w:rsidRDefault="009629B6" w:rsidP="002412AA">
            <w:pPr>
              <w:rPr>
                <w:sz w:val="24"/>
              </w:rPr>
            </w:pPr>
            <w:r>
              <w:rPr>
                <w:sz w:val="24"/>
              </w:rPr>
              <w:t>26</w:t>
            </w:r>
          </w:p>
        </w:tc>
        <w:tc>
          <w:tcPr>
            <w:tcW w:w="691" w:type="dxa"/>
          </w:tcPr>
          <w:p w:rsidR="009629B6" w:rsidRDefault="009629B6" w:rsidP="002412AA">
            <w:pPr>
              <w:rPr>
                <w:sz w:val="24"/>
              </w:rPr>
            </w:pPr>
            <w:r>
              <w:rPr>
                <w:sz w:val="24"/>
              </w:rPr>
              <w:t>27</w:t>
            </w:r>
          </w:p>
        </w:tc>
        <w:tc>
          <w:tcPr>
            <w:tcW w:w="692" w:type="dxa"/>
          </w:tcPr>
          <w:p w:rsidR="009629B6" w:rsidRDefault="009629B6" w:rsidP="002412AA">
            <w:pPr>
              <w:rPr>
                <w:sz w:val="24"/>
              </w:rPr>
            </w:pPr>
            <w:r>
              <w:rPr>
                <w:sz w:val="24"/>
              </w:rPr>
              <w:t>28</w:t>
            </w:r>
          </w:p>
        </w:tc>
        <w:tc>
          <w:tcPr>
            <w:tcW w:w="692" w:type="dxa"/>
          </w:tcPr>
          <w:p w:rsidR="009629B6" w:rsidRDefault="009629B6" w:rsidP="002412AA">
            <w:pPr>
              <w:rPr>
                <w:sz w:val="24"/>
              </w:rPr>
            </w:pPr>
            <w:r>
              <w:rPr>
                <w:sz w:val="24"/>
              </w:rPr>
              <w:t>29</w:t>
            </w:r>
          </w:p>
        </w:tc>
        <w:tc>
          <w:tcPr>
            <w:tcW w:w="692" w:type="dxa"/>
          </w:tcPr>
          <w:p w:rsidR="009629B6" w:rsidRDefault="009629B6" w:rsidP="002412AA">
            <w:pPr>
              <w:rPr>
                <w:sz w:val="24"/>
              </w:rPr>
            </w:pPr>
            <w:r>
              <w:rPr>
                <w:sz w:val="24"/>
              </w:rPr>
              <w:t>30</w:t>
            </w:r>
          </w:p>
        </w:tc>
      </w:tr>
      <w:tr w:rsidR="009629B6" w:rsidTr="002412AA">
        <w:tc>
          <w:tcPr>
            <w:tcW w:w="1271" w:type="dxa"/>
          </w:tcPr>
          <w:p w:rsidR="009629B6" w:rsidRDefault="009629B6" w:rsidP="002412AA">
            <w:pPr>
              <w:rPr>
                <w:sz w:val="24"/>
              </w:rPr>
            </w:pPr>
            <w:r>
              <w:rPr>
                <w:sz w:val="24"/>
              </w:rPr>
              <w:t>Oikein</w:t>
            </w: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r>
      <w:tr w:rsidR="009629B6" w:rsidTr="002412AA">
        <w:tc>
          <w:tcPr>
            <w:tcW w:w="1271" w:type="dxa"/>
          </w:tcPr>
          <w:p w:rsidR="009629B6" w:rsidRDefault="009629B6" w:rsidP="002412AA">
            <w:pPr>
              <w:rPr>
                <w:sz w:val="24"/>
              </w:rPr>
            </w:pPr>
            <w:r>
              <w:rPr>
                <w:sz w:val="24"/>
              </w:rPr>
              <w:t>Väärin</w:t>
            </w: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r>
    </w:tbl>
    <w:p w:rsidR="00743927" w:rsidRDefault="00743927" w:rsidP="00743927">
      <w:pPr>
        <w:rPr>
          <w:sz w:val="24"/>
          <w:szCs w:val="24"/>
        </w:rPr>
      </w:pPr>
    </w:p>
    <w:tbl>
      <w:tblPr>
        <w:tblStyle w:val="TaulukkoRuudukko"/>
        <w:tblW w:w="0" w:type="auto"/>
        <w:tblLook w:val="04A0" w:firstRow="1" w:lastRow="0" w:firstColumn="1" w:lastColumn="0" w:noHBand="0" w:noVBand="1"/>
      </w:tblPr>
      <w:tblGrid>
        <w:gridCol w:w="1271"/>
        <w:gridCol w:w="691"/>
        <w:gridCol w:w="692"/>
        <w:gridCol w:w="692"/>
        <w:gridCol w:w="691"/>
        <w:gridCol w:w="692"/>
        <w:gridCol w:w="692"/>
        <w:gridCol w:w="691"/>
        <w:gridCol w:w="692"/>
        <w:gridCol w:w="692"/>
        <w:gridCol w:w="692"/>
      </w:tblGrid>
      <w:tr w:rsidR="009629B6" w:rsidTr="002412AA">
        <w:tc>
          <w:tcPr>
            <w:tcW w:w="1271" w:type="dxa"/>
          </w:tcPr>
          <w:p w:rsidR="009629B6" w:rsidRDefault="009629B6" w:rsidP="002412AA">
            <w:pPr>
              <w:rPr>
                <w:sz w:val="24"/>
              </w:rPr>
            </w:pPr>
          </w:p>
        </w:tc>
        <w:tc>
          <w:tcPr>
            <w:tcW w:w="691" w:type="dxa"/>
          </w:tcPr>
          <w:p w:rsidR="009629B6" w:rsidRDefault="009629B6" w:rsidP="002412AA">
            <w:pPr>
              <w:rPr>
                <w:sz w:val="24"/>
              </w:rPr>
            </w:pPr>
            <w:r>
              <w:rPr>
                <w:sz w:val="24"/>
              </w:rPr>
              <w:t>31</w:t>
            </w:r>
          </w:p>
        </w:tc>
        <w:tc>
          <w:tcPr>
            <w:tcW w:w="692" w:type="dxa"/>
          </w:tcPr>
          <w:p w:rsidR="009629B6" w:rsidRDefault="00CD0888" w:rsidP="009629B6">
            <w:pPr>
              <w:rPr>
                <w:sz w:val="24"/>
              </w:rPr>
            </w:pPr>
            <w:r>
              <w:rPr>
                <w:sz w:val="24"/>
              </w:rPr>
              <w:t>32</w:t>
            </w:r>
          </w:p>
        </w:tc>
        <w:tc>
          <w:tcPr>
            <w:tcW w:w="692" w:type="dxa"/>
          </w:tcPr>
          <w:p w:rsidR="009629B6" w:rsidRDefault="009629B6" w:rsidP="002412AA">
            <w:pPr>
              <w:rPr>
                <w:sz w:val="24"/>
              </w:rPr>
            </w:pPr>
            <w:r>
              <w:rPr>
                <w:sz w:val="24"/>
              </w:rPr>
              <w:t>33</w:t>
            </w:r>
          </w:p>
        </w:tc>
        <w:tc>
          <w:tcPr>
            <w:tcW w:w="691" w:type="dxa"/>
          </w:tcPr>
          <w:p w:rsidR="009629B6" w:rsidRDefault="009629B6" w:rsidP="002412AA">
            <w:pPr>
              <w:rPr>
                <w:sz w:val="24"/>
              </w:rPr>
            </w:pPr>
            <w:r>
              <w:rPr>
                <w:sz w:val="24"/>
              </w:rPr>
              <w:t>34</w:t>
            </w:r>
          </w:p>
        </w:tc>
        <w:tc>
          <w:tcPr>
            <w:tcW w:w="692" w:type="dxa"/>
          </w:tcPr>
          <w:p w:rsidR="009629B6" w:rsidRDefault="009629B6" w:rsidP="002412AA">
            <w:pPr>
              <w:rPr>
                <w:sz w:val="24"/>
              </w:rPr>
            </w:pPr>
            <w:r>
              <w:rPr>
                <w:sz w:val="24"/>
              </w:rPr>
              <w:t>35</w:t>
            </w:r>
          </w:p>
        </w:tc>
        <w:tc>
          <w:tcPr>
            <w:tcW w:w="692" w:type="dxa"/>
          </w:tcPr>
          <w:p w:rsidR="009629B6" w:rsidRDefault="009629B6" w:rsidP="002412AA">
            <w:pPr>
              <w:rPr>
                <w:sz w:val="24"/>
              </w:rPr>
            </w:pPr>
            <w:r>
              <w:rPr>
                <w:sz w:val="24"/>
              </w:rPr>
              <w:t>36</w:t>
            </w:r>
          </w:p>
        </w:tc>
        <w:tc>
          <w:tcPr>
            <w:tcW w:w="691" w:type="dxa"/>
          </w:tcPr>
          <w:p w:rsidR="009629B6" w:rsidRDefault="009629B6" w:rsidP="002412AA">
            <w:pPr>
              <w:rPr>
                <w:sz w:val="24"/>
              </w:rPr>
            </w:pPr>
            <w:r>
              <w:rPr>
                <w:sz w:val="24"/>
              </w:rPr>
              <w:t>37</w:t>
            </w:r>
          </w:p>
        </w:tc>
        <w:tc>
          <w:tcPr>
            <w:tcW w:w="692" w:type="dxa"/>
          </w:tcPr>
          <w:p w:rsidR="009629B6" w:rsidRDefault="009629B6" w:rsidP="002412AA">
            <w:pPr>
              <w:rPr>
                <w:sz w:val="24"/>
              </w:rPr>
            </w:pPr>
            <w:r>
              <w:rPr>
                <w:sz w:val="24"/>
              </w:rPr>
              <w:t>38</w:t>
            </w:r>
          </w:p>
        </w:tc>
        <w:tc>
          <w:tcPr>
            <w:tcW w:w="692" w:type="dxa"/>
          </w:tcPr>
          <w:p w:rsidR="009629B6" w:rsidRDefault="009629B6" w:rsidP="002412AA">
            <w:pPr>
              <w:rPr>
                <w:sz w:val="24"/>
              </w:rPr>
            </w:pPr>
            <w:r>
              <w:rPr>
                <w:sz w:val="24"/>
              </w:rPr>
              <w:t>39</w:t>
            </w:r>
          </w:p>
        </w:tc>
        <w:tc>
          <w:tcPr>
            <w:tcW w:w="692" w:type="dxa"/>
          </w:tcPr>
          <w:p w:rsidR="009629B6" w:rsidRDefault="009629B6" w:rsidP="002412AA">
            <w:pPr>
              <w:rPr>
                <w:sz w:val="24"/>
              </w:rPr>
            </w:pPr>
            <w:r>
              <w:rPr>
                <w:sz w:val="24"/>
              </w:rPr>
              <w:t>40</w:t>
            </w:r>
          </w:p>
        </w:tc>
      </w:tr>
      <w:tr w:rsidR="009629B6" w:rsidTr="002412AA">
        <w:tc>
          <w:tcPr>
            <w:tcW w:w="1271" w:type="dxa"/>
          </w:tcPr>
          <w:p w:rsidR="009629B6" w:rsidRDefault="009629B6" w:rsidP="002412AA">
            <w:pPr>
              <w:rPr>
                <w:sz w:val="24"/>
              </w:rPr>
            </w:pPr>
            <w:r>
              <w:rPr>
                <w:sz w:val="24"/>
              </w:rPr>
              <w:t>Oikein</w:t>
            </w: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r>
      <w:tr w:rsidR="009629B6" w:rsidTr="002412AA">
        <w:tc>
          <w:tcPr>
            <w:tcW w:w="1271" w:type="dxa"/>
          </w:tcPr>
          <w:p w:rsidR="009629B6" w:rsidRDefault="009629B6" w:rsidP="002412AA">
            <w:pPr>
              <w:rPr>
                <w:sz w:val="24"/>
              </w:rPr>
            </w:pPr>
            <w:r>
              <w:rPr>
                <w:sz w:val="24"/>
              </w:rPr>
              <w:t>Väärin</w:t>
            </w: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r>
    </w:tbl>
    <w:p w:rsidR="009629B6" w:rsidRDefault="009629B6" w:rsidP="00743927">
      <w:pPr>
        <w:rPr>
          <w:sz w:val="24"/>
          <w:szCs w:val="24"/>
        </w:rPr>
      </w:pPr>
    </w:p>
    <w:tbl>
      <w:tblPr>
        <w:tblStyle w:val="TaulukkoRuudukko"/>
        <w:tblW w:w="0" w:type="auto"/>
        <w:tblLook w:val="04A0" w:firstRow="1" w:lastRow="0" w:firstColumn="1" w:lastColumn="0" w:noHBand="0" w:noVBand="1"/>
      </w:tblPr>
      <w:tblGrid>
        <w:gridCol w:w="1271"/>
        <w:gridCol w:w="691"/>
        <w:gridCol w:w="692"/>
        <w:gridCol w:w="692"/>
        <w:gridCol w:w="691"/>
        <w:gridCol w:w="692"/>
        <w:gridCol w:w="692"/>
        <w:gridCol w:w="691"/>
        <w:gridCol w:w="692"/>
        <w:gridCol w:w="692"/>
        <w:gridCol w:w="692"/>
      </w:tblGrid>
      <w:tr w:rsidR="00CD0888" w:rsidTr="00DD6005">
        <w:tc>
          <w:tcPr>
            <w:tcW w:w="1271" w:type="dxa"/>
          </w:tcPr>
          <w:p w:rsidR="00CD0888" w:rsidRDefault="00CD0888" w:rsidP="00DD6005">
            <w:pPr>
              <w:rPr>
                <w:sz w:val="24"/>
              </w:rPr>
            </w:pPr>
          </w:p>
        </w:tc>
        <w:tc>
          <w:tcPr>
            <w:tcW w:w="691" w:type="dxa"/>
          </w:tcPr>
          <w:p w:rsidR="00CD0888" w:rsidRDefault="00CD0888" w:rsidP="00DD6005">
            <w:pPr>
              <w:rPr>
                <w:sz w:val="24"/>
              </w:rPr>
            </w:pPr>
            <w:r>
              <w:rPr>
                <w:sz w:val="24"/>
              </w:rPr>
              <w:t>41</w:t>
            </w:r>
          </w:p>
        </w:tc>
        <w:tc>
          <w:tcPr>
            <w:tcW w:w="692" w:type="dxa"/>
          </w:tcPr>
          <w:p w:rsidR="00CD0888" w:rsidRDefault="00CD0888" w:rsidP="00DD6005">
            <w:pPr>
              <w:rPr>
                <w:sz w:val="24"/>
              </w:rPr>
            </w:pPr>
            <w:r>
              <w:rPr>
                <w:sz w:val="24"/>
              </w:rPr>
              <w:t>42</w:t>
            </w:r>
          </w:p>
        </w:tc>
        <w:tc>
          <w:tcPr>
            <w:tcW w:w="692" w:type="dxa"/>
          </w:tcPr>
          <w:p w:rsidR="00CD0888" w:rsidRDefault="00CD0888" w:rsidP="00DD6005">
            <w:pPr>
              <w:rPr>
                <w:sz w:val="24"/>
              </w:rPr>
            </w:pPr>
            <w:r>
              <w:rPr>
                <w:sz w:val="24"/>
              </w:rPr>
              <w:t>43</w:t>
            </w:r>
          </w:p>
        </w:tc>
        <w:tc>
          <w:tcPr>
            <w:tcW w:w="691" w:type="dxa"/>
          </w:tcPr>
          <w:p w:rsidR="00CD0888" w:rsidRDefault="00CD0888" w:rsidP="00DD6005">
            <w:pPr>
              <w:rPr>
                <w:sz w:val="24"/>
              </w:rPr>
            </w:pPr>
            <w:r>
              <w:rPr>
                <w:sz w:val="24"/>
              </w:rPr>
              <w:t>44</w:t>
            </w:r>
          </w:p>
        </w:tc>
        <w:tc>
          <w:tcPr>
            <w:tcW w:w="692" w:type="dxa"/>
          </w:tcPr>
          <w:p w:rsidR="00CD0888" w:rsidRDefault="00CD0888" w:rsidP="00DD6005">
            <w:pPr>
              <w:rPr>
                <w:sz w:val="24"/>
              </w:rPr>
            </w:pPr>
            <w:r>
              <w:rPr>
                <w:sz w:val="24"/>
              </w:rPr>
              <w:t>45</w:t>
            </w:r>
          </w:p>
        </w:tc>
        <w:tc>
          <w:tcPr>
            <w:tcW w:w="692" w:type="dxa"/>
          </w:tcPr>
          <w:p w:rsidR="00CD0888" w:rsidRDefault="00CD0888" w:rsidP="00DD6005">
            <w:pPr>
              <w:rPr>
                <w:sz w:val="24"/>
              </w:rPr>
            </w:pPr>
            <w:r>
              <w:rPr>
                <w:sz w:val="24"/>
              </w:rPr>
              <w:t>46</w:t>
            </w:r>
          </w:p>
        </w:tc>
        <w:tc>
          <w:tcPr>
            <w:tcW w:w="691" w:type="dxa"/>
          </w:tcPr>
          <w:p w:rsidR="00CD0888" w:rsidRDefault="00CD0888" w:rsidP="00DD6005">
            <w:pPr>
              <w:rPr>
                <w:sz w:val="24"/>
              </w:rPr>
            </w:pPr>
            <w:r>
              <w:rPr>
                <w:sz w:val="24"/>
              </w:rPr>
              <w:t>47</w:t>
            </w:r>
          </w:p>
        </w:tc>
        <w:tc>
          <w:tcPr>
            <w:tcW w:w="692" w:type="dxa"/>
          </w:tcPr>
          <w:p w:rsidR="00CD0888" w:rsidRDefault="00CD0888" w:rsidP="00DD6005">
            <w:pPr>
              <w:rPr>
                <w:sz w:val="24"/>
              </w:rPr>
            </w:pPr>
            <w:r>
              <w:rPr>
                <w:sz w:val="24"/>
              </w:rPr>
              <w:t>48</w:t>
            </w:r>
          </w:p>
        </w:tc>
        <w:tc>
          <w:tcPr>
            <w:tcW w:w="692" w:type="dxa"/>
          </w:tcPr>
          <w:p w:rsidR="00CD0888" w:rsidRDefault="00CD0888" w:rsidP="00DD6005">
            <w:pPr>
              <w:rPr>
                <w:sz w:val="24"/>
              </w:rPr>
            </w:pPr>
            <w:r>
              <w:rPr>
                <w:sz w:val="24"/>
              </w:rPr>
              <w:t>49</w:t>
            </w:r>
          </w:p>
        </w:tc>
        <w:tc>
          <w:tcPr>
            <w:tcW w:w="692" w:type="dxa"/>
          </w:tcPr>
          <w:p w:rsidR="00CD0888" w:rsidRDefault="00CD0888" w:rsidP="00DD6005">
            <w:pPr>
              <w:rPr>
                <w:sz w:val="24"/>
              </w:rPr>
            </w:pPr>
            <w:r>
              <w:rPr>
                <w:sz w:val="24"/>
              </w:rPr>
              <w:t>50</w:t>
            </w:r>
          </w:p>
        </w:tc>
      </w:tr>
      <w:tr w:rsidR="00CD0888" w:rsidTr="00DD6005">
        <w:tc>
          <w:tcPr>
            <w:tcW w:w="1271" w:type="dxa"/>
          </w:tcPr>
          <w:p w:rsidR="00CD0888" w:rsidRDefault="00CD0888" w:rsidP="00DD6005">
            <w:pPr>
              <w:rPr>
                <w:sz w:val="24"/>
              </w:rPr>
            </w:pPr>
            <w:r>
              <w:rPr>
                <w:sz w:val="24"/>
              </w:rPr>
              <w:t>Oikein</w:t>
            </w:r>
          </w:p>
        </w:tc>
        <w:tc>
          <w:tcPr>
            <w:tcW w:w="691"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1"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1"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2" w:type="dxa"/>
          </w:tcPr>
          <w:p w:rsidR="00CD0888" w:rsidRDefault="00CD0888" w:rsidP="004F20E2">
            <w:pPr>
              <w:jc w:val="center"/>
              <w:rPr>
                <w:sz w:val="24"/>
              </w:rPr>
            </w:pPr>
          </w:p>
        </w:tc>
      </w:tr>
      <w:tr w:rsidR="00CD0888" w:rsidTr="00DD6005">
        <w:tc>
          <w:tcPr>
            <w:tcW w:w="1271" w:type="dxa"/>
          </w:tcPr>
          <w:p w:rsidR="00CD0888" w:rsidRDefault="00CD0888" w:rsidP="00DD6005">
            <w:pPr>
              <w:rPr>
                <w:sz w:val="24"/>
              </w:rPr>
            </w:pPr>
            <w:r>
              <w:rPr>
                <w:sz w:val="24"/>
              </w:rPr>
              <w:t>Väärin</w:t>
            </w:r>
          </w:p>
        </w:tc>
        <w:tc>
          <w:tcPr>
            <w:tcW w:w="691"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1"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1"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2" w:type="dxa"/>
          </w:tcPr>
          <w:p w:rsidR="00CD0888" w:rsidRDefault="00CD0888" w:rsidP="004F20E2">
            <w:pPr>
              <w:jc w:val="center"/>
              <w:rPr>
                <w:sz w:val="24"/>
              </w:rPr>
            </w:pPr>
          </w:p>
        </w:tc>
      </w:tr>
    </w:tbl>
    <w:p w:rsidR="00CD0888" w:rsidRDefault="00CD0888" w:rsidP="00743927">
      <w:pPr>
        <w:rPr>
          <w:sz w:val="24"/>
          <w:szCs w:val="24"/>
        </w:rPr>
      </w:pPr>
    </w:p>
    <w:p w:rsidR="00CD0888" w:rsidRDefault="00CD0888" w:rsidP="00743927">
      <w:pPr>
        <w:rPr>
          <w:sz w:val="24"/>
          <w:szCs w:val="24"/>
        </w:rPr>
      </w:pPr>
    </w:p>
    <w:p w:rsidR="00CD0888" w:rsidRDefault="00CD0888" w:rsidP="00743927">
      <w:pPr>
        <w:rPr>
          <w:sz w:val="24"/>
          <w:szCs w:val="24"/>
        </w:rPr>
      </w:pPr>
      <w:r>
        <w:rPr>
          <w:sz w:val="24"/>
          <w:szCs w:val="24"/>
        </w:rPr>
        <w:t>VÄITTEET</w:t>
      </w:r>
    </w:p>
    <w:p w:rsidR="00F93C2A" w:rsidRDefault="00F93C2A" w:rsidP="00743927">
      <w:pPr>
        <w:rPr>
          <w:sz w:val="24"/>
          <w:szCs w:val="24"/>
        </w:rPr>
      </w:pPr>
      <w:r>
        <w:rPr>
          <w:sz w:val="24"/>
          <w:szCs w:val="24"/>
        </w:rPr>
        <w:t>Väitteissä oletetaan, että yritys tekee kirjanpitonsa suoriteperusteella ja tilikausi on kalenterivuosi, ellei ole nimenomaisesti sanottu toisin. Arvonlisäverot otetaan huomioon vain, jos ne on tehtävässä mainittu. Arvonlisäverot kirjataan nettoperiaatteella.</w:t>
      </w:r>
    </w:p>
    <w:p w:rsidR="00655101" w:rsidRDefault="00655101" w:rsidP="007D3F12">
      <w:pPr>
        <w:rPr>
          <w:sz w:val="24"/>
          <w:szCs w:val="24"/>
        </w:rPr>
      </w:pPr>
    </w:p>
    <w:p w:rsidR="00DF2D48" w:rsidRDefault="00DF2D48" w:rsidP="007D3F12">
      <w:pPr>
        <w:pStyle w:val="Luettelokappale"/>
        <w:numPr>
          <w:ilvl w:val="0"/>
          <w:numId w:val="3"/>
        </w:numPr>
        <w:rPr>
          <w:sz w:val="24"/>
          <w:szCs w:val="24"/>
        </w:rPr>
      </w:pPr>
      <w:r w:rsidRPr="00DF2D48">
        <w:rPr>
          <w:sz w:val="24"/>
          <w:szCs w:val="24"/>
        </w:rPr>
        <w:t>Jos taseessa esitettävän varallisuuserän arvo on noussut, on tämä arvonnousu pääsääntöisesti tuloutettava ja varallisuuserä on esitettävä taseessa käypään arvoon.</w:t>
      </w:r>
    </w:p>
    <w:p w:rsidR="00DF2D48" w:rsidRDefault="00DF2D48" w:rsidP="007D3F12">
      <w:pPr>
        <w:pStyle w:val="Luettelokappale"/>
        <w:numPr>
          <w:ilvl w:val="0"/>
          <w:numId w:val="3"/>
        </w:numPr>
        <w:rPr>
          <w:sz w:val="24"/>
          <w:szCs w:val="24"/>
        </w:rPr>
      </w:pPr>
      <w:r>
        <w:rPr>
          <w:sz w:val="24"/>
          <w:szCs w:val="24"/>
        </w:rPr>
        <w:t xml:space="preserve">Kaikkien suomalaisten suuryritysten on laadittava tilinpäätöksensä </w:t>
      </w:r>
      <w:proofErr w:type="spellStart"/>
      <w:r>
        <w:rPr>
          <w:sz w:val="24"/>
          <w:szCs w:val="24"/>
        </w:rPr>
        <w:t>IFRS:n</w:t>
      </w:r>
      <w:proofErr w:type="spellEnd"/>
      <w:r>
        <w:rPr>
          <w:sz w:val="24"/>
          <w:szCs w:val="24"/>
        </w:rPr>
        <w:t xml:space="preserve"> säännösten mukaan.</w:t>
      </w:r>
    </w:p>
    <w:p w:rsidR="00DF2D48" w:rsidRDefault="00DF2D48" w:rsidP="007D3F12">
      <w:pPr>
        <w:pStyle w:val="Luettelokappale"/>
        <w:numPr>
          <w:ilvl w:val="0"/>
          <w:numId w:val="3"/>
        </w:numPr>
        <w:rPr>
          <w:sz w:val="24"/>
          <w:szCs w:val="24"/>
        </w:rPr>
      </w:pPr>
      <w:r>
        <w:rPr>
          <w:sz w:val="24"/>
          <w:szCs w:val="24"/>
        </w:rPr>
        <w:t>Jos tilinpäätös tehdään kirjanpitolautakunnan suosittelemalla tavalla, ovat tehdyt kulukirjaukset vähennyskelpoisia myös yrityksen tuloverotuksessa.</w:t>
      </w:r>
    </w:p>
    <w:p w:rsidR="00DF2D48" w:rsidRDefault="00DF2D48" w:rsidP="007D3F12">
      <w:pPr>
        <w:pStyle w:val="Luettelokappale"/>
        <w:numPr>
          <w:ilvl w:val="0"/>
          <w:numId w:val="3"/>
        </w:numPr>
        <w:rPr>
          <w:sz w:val="24"/>
          <w:szCs w:val="24"/>
        </w:rPr>
      </w:pPr>
      <w:r>
        <w:rPr>
          <w:sz w:val="24"/>
          <w:szCs w:val="24"/>
        </w:rPr>
        <w:t xml:space="preserve">Mikroyrityksellä voi olla palkkalistoillaan </w:t>
      </w:r>
      <w:r w:rsidR="0001381C">
        <w:rPr>
          <w:sz w:val="24"/>
          <w:szCs w:val="24"/>
        </w:rPr>
        <w:t xml:space="preserve">jatkuvasti </w:t>
      </w:r>
      <w:r>
        <w:rPr>
          <w:sz w:val="24"/>
          <w:szCs w:val="24"/>
        </w:rPr>
        <w:t>20 henkilöä.</w:t>
      </w:r>
    </w:p>
    <w:p w:rsidR="00DF2D48" w:rsidRDefault="00DF2D48" w:rsidP="007D3F12">
      <w:pPr>
        <w:pStyle w:val="Luettelokappale"/>
        <w:numPr>
          <w:ilvl w:val="0"/>
          <w:numId w:val="3"/>
        </w:numPr>
        <w:rPr>
          <w:sz w:val="24"/>
          <w:szCs w:val="24"/>
        </w:rPr>
      </w:pPr>
      <w:r>
        <w:rPr>
          <w:sz w:val="24"/>
          <w:szCs w:val="24"/>
        </w:rPr>
        <w:t>Tilinpäätöksen muodostavat tuloslaskelma, tase ja suuryrityksellä vielä rahoituslaskelma.</w:t>
      </w:r>
    </w:p>
    <w:p w:rsidR="00DF2D48" w:rsidRDefault="00CA0D69" w:rsidP="007D3F12">
      <w:pPr>
        <w:pStyle w:val="Luettelokappale"/>
        <w:numPr>
          <w:ilvl w:val="0"/>
          <w:numId w:val="3"/>
        </w:numPr>
        <w:rPr>
          <w:sz w:val="24"/>
          <w:szCs w:val="24"/>
        </w:rPr>
      </w:pPr>
      <w:r>
        <w:rPr>
          <w:sz w:val="24"/>
          <w:szCs w:val="24"/>
        </w:rPr>
        <w:t>Koska suorite- ja laskuperuste ovat niin lähellä toisiaan, voidaan sekä tilikauden aikainen kirjanpito että tilinpäätös tehdä kummalla vain periaatteella.</w:t>
      </w:r>
    </w:p>
    <w:p w:rsidR="00CA0D69" w:rsidRDefault="00CA0D69" w:rsidP="007D3F12">
      <w:pPr>
        <w:pStyle w:val="Luettelokappale"/>
        <w:numPr>
          <w:ilvl w:val="0"/>
          <w:numId w:val="3"/>
        </w:numPr>
        <w:rPr>
          <w:sz w:val="24"/>
          <w:szCs w:val="24"/>
        </w:rPr>
      </w:pPr>
      <w:r>
        <w:rPr>
          <w:sz w:val="24"/>
          <w:szCs w:val="24"/>
        </w:rPr>
        <w:t>Tase-erittelyt eivät kuulu osakeyhtiön julkistettavaan tilinpäätökseen.</w:t>
      </w:r>
    </w:p>
    <w:p w:rsidR="00CA0D69" w:rsidRDefault="00CA0D69" w:rsidP="007D3F12">
      <w:pPr>
        <w:pStyle w:val="Luettelokappale"/>
        <w:numPr>
          <w:ilvl w:val="0"/>
          <w:numId w:val="3"/>
        </w:numPr>
        <w:rPr>
          <w:sz w:val="24"/>
          <w:szCs w:val="24"/>
        </w:rPr>
      </w:pPr>
      <w:r>
        <w:rPr>
          <w:sz w:val="24"/>
          <w:szCs w:val="24"/>
        </w:rPr>
        <w:lastRenderedPageBreak/>
        <w:t>Tilinavauksessa edellisen vuoden tuloslaskelman ja taseen summat kopioidaan alkusaldoiksi seuraavan vuoden kirjanpitoon.</w:t>
      </w:r>
    </w:p>
    <w:p w:rsidR="00CA0D69" w:rsidRDefault="005C0BC5" w:rsidP="007D3F12">
      <w:pPr>
        <w:pStyle w:val="Luettelokappale"/>
        <w:numPr>
          <w:ilvl w:val="0"/>
          <w:numId w:val="3"/>
        </w:numPr>
        <w:rPr>
          <w:sz w:val="24"/>
          <w:szCs w:val="24"/>
        </w:rPr>
      </w:pPr>
      <w:r>
        <w:rPr>
          <w:sz w:val="24"/>
          <w:szCs w:val="24"/>
        </w:rPr>
        <w:t>Varaston arvostus keskihintaan on sallittua vain suuryrityksille.</w:t>
      </w:r>
    </w:p>
    <w:p w:rsidR="005C0BC5" w:rsidRDefault="005C0BC5" w:rsidP="007D3F12">
      <w:pPr>
        <w:pStyle w:val="Luettelokappale"/>
        <w:numPr>
          <w:ilvl w:val="0"/>
          <w:numId w:val="3"/>
        </w:numPr>
        <w:rPr>
          <w:sz w:val="24"/>
          <w:szCs w:val="24"/>
        </w:rPr>
      </w:pPr>
      <w:r>
        <w:rPr>
          <w:sz w:val="24"/>
          <w:szCs w:val="24"/>
        </w:rPr>
        <w:t>Yritys oli jonkin aikaa koettanut myydä pysyvien vastaavien maa-aluettaan, jonka tasearvo oli 5000 ja toivottu myyntihinta 7000. Alueesta oli saatu noin 6000 euron tarjouksia, mutta tilinpäätöshetkellä käynnissä olleen tautiepidemian vuoksi kaupankäynti oli pysähtynyt eikä maa-alueesta olisi myytäessä saatu enää kuin noin 3000. Väite: Maa-alueesta on tehtävä tilinpäätöksessä arvonalennuskirjaus 2000.</w:t>
      </w:r>
    </w:p>
    <w:p w:rsidR="005C0BC5" w:rsidRDefault="005C0BC5" w:rsidP="007D3F12">
      <w:pPr>
        <w:pStyle w:val="Luettelokappale"/>
        <w:numPr>
          <w:ilvl w:val="0"/>
          <w:numId w:val="3"/>
        </w:numPr>
        <w:rPr>
          <w:sz w:val="24"/>
          <w:szCs w:val="24"/>
        </w:rPr>
      </w:pPr>
      <w:r>
        <w:rPr>
          <w:sz w:val="24"/>
          <w:szCs w:val="24"/>
        </w:rPr>
        <w:t xml:space="preserve">Yritys osti erään </w:t>
      </w:r>
      <w:r w:rsidR="00AC3D24">
        <w:rPr>
          <w:sz w:val="24"/>
          <w:szCs w:val="24"/>
        </w:rPr>
        <w:t xml:space="preserve">hyvin kannattavana pitämänsä </w:t>
      </w:r>
      <w:r>
        <w:rPr>
          <w:sz w:val="24"/>
          <w:szCs w:val="24"/>
        </w:rPr>
        <w:t>liiketoiminnan hintaan 600 saaden vastuulleen sen varat 300 ja velat 100. Väite: Liiketoimintakaupasta syntyi taseeseen merkittävää liikearvoa 400.</w:t>
      </w:r>
    </w:p>
    <w:p w:rsidR="005C0BC5" w:rsidRDefault="005C0BC5" w:rsidP="007D3F12">
      <w:pPr>
        <w:pStyle w:val="Luettelokappale"/>
        <w:numPr>
          <w:ilvl w:val="0"/>
          <w:numId w:val="3"/>
        </w:numPr>
        <w:rPr>
          <w:sz w:val="24"/>
          <w:szCs w:val="24"/>
        </w:rPr>
      </w:pPr>
      <w:r>
        <w:rPr>
          <w:sz w:val="24"/>
          <w:szCs w:val="24"/>
        </w:rPr>
        <w:t xml:space="preserve">Kohdan 11 liiketoiminta menestyi </w:t>
      </w:r>
      <w:r w:rsidR="00AC3D24">
        <w:rPr>
          <w:sz w:val="24"/>
          <w:szCs w:val="24"/>
        </w:rPr>
        <w:t>kuitenkin odotuksia heikommin</w:t>
      </w:r>
      <w:r>
        <w:rPr>
          <w:sz w:val="24"/>
          <w:szCs w:val="24"/>
        </w:rPr>
        <w:t xml:space="preserve"> ensimmäisenä vuotena eivätkä lähivuosien näkymätkään vaikuttaneet suotuisilta. Liiketoiminnasta arvioitiin jälkiviisaana maksetun liikaa 200. Väite: Ylihinta 200 on kirjattava tilinpäätöksessä kuluksi liikearvon arvonalennuksena.</w:t>
      </w:r>
    </w:p>
    <w:p w:rsidR="005C0BC5" w:rsidRDefault="00AC3D24" w:rsidP="007D3F12">
      <w:pPr>
        <w:pStyle w:val="Luettelokappale"/>
        <w:numPr>
          <w:ilvl w:val="0"/>
          <w:numId w:val="3"/>
        </w:numPr>
        <w:rPr>
          <w:sz w:val="24"/>
          <w:szCs w:val="24"/>
        </w:rPr>
      </w:pPr>
      <w:r>
        <w:rPr>
          <w:sz w:val="24"/>
          <w:szCs w:val="24"/>
        </w:rPr>
        <w:t>Hyödykkeen h</w:t>
      </w:r>
      <w:r w:rsidR="005C0BC5">
        <w:rPr>
          <w:sz w:val="24"/>
          <w:szCs w:val="24"/>
        </w:rPr>
        <w:t xml:space="preserve">ankintamenoon voidaan lukea kaikki </w:t>
      </w:r>
      <w:r w:rsidR="00D30B29">
        <w:rPr>
          <w:sz w:val="24"/>
          <w:szCs w:val="24"/>
        </w:rPr>
        <w:t xml:space="preserve">sen </w:t>
      </w:r>
      <w:r w:rsidR="005C0BC5">
        <w:rPr>
          <w:sz w:val="24"/>
          <w:szCs w:val="24"/>
        </w:rPr>
        <w:t xml:space="preserve">välittömät menot sekä </w:t>
      </w:r>
      <w:r>
        <w:rPr>
          <w:sz w:val="24"/>
          <w:szCs w:val="24"/>
        </w:rPr>
        <w:t xml:space="preserve">sen </w:t>
      </w:r>
      <w:r w:rsidR="005C0BC5">
        <w:rPr>
          <w:sz w:val="24"/>
          <w:szCs w:val="24"/>
        </w:rPr>
        <w:t>valmistukseen kohdistettavissa olevan lainan korkomenot, vaikka mukaan ei otettaisikaan kaikkia hankinnan ja valmistuksen välillisiä menoja.</w:t>
      </w:r>
    </w:p>
    <w:p w:rsidR="005C0BC5" w:rsidRDefault="00143AE2" w:rsidP="007D3F12">
      <w:pPr>
        <w:pStyle w:val="Luettelokappale"/>
        <w:numPr>
          <w:ilvl w:val="0"/>
          <w:numId w:val="3"/>
        </w:numPr>
        <w:rPr>
          <w:sz w:val="24"/>
          <w:szCs w:val="24"/>
        </w:rPr>
      </w:pPr>
      <w:r>
        <w:rPr>
          <w:sz w:val="24"/>
          <w:szCs w:val="24"/>
        </w:rPr>
        <w:t xml:space="preserve">Asia ennen muotoa </w:t>
      </w:r>
      <w:proofErr w:type="gramStart"/>
      <w:r>
        <w:rPr>
          <w:sz w:val="24"/>
          <w:szCs w:val="24"/>
        </w:rPr>
        <w:t>–periaate</w:t>
      </w:r>
      <w:proofErr w:type="gramEnd"/>
      <w:r>
        <w:rPr>
          <w:sz w:val="24"/>
          <w:szCs w:val="24"/>
        </w:rPr>
        <w:t xml:space="preserve"> oikeuttaa muuttamaan taseen p</w:t>
      </w:r>
      <w:r w:rsidR="009F7FCB">
        <w:rPr>
          <w:sz w:val="24"/>
          <w:szCs w:val="24"/>
        </w:rPr>
        <w:t>ääryhmien nimityksiä niin, että</w:t>
      </w:r>
      <w:r>
        <w:rPr>
          <w:sz w:val="24"/>
          <w:szCs w:val="24"/>
        </w:rPr>
        <w:t xml:space="preserve"> esimerkiksi yrityksen katsoessa sen oikeaksi voitaisiin aineettomat ja aineelliset hyödykkeet esittää yhteenlaskettuina.</w:t>
      </w:r>
    </w:p>
    <w:p w:rsidR="00143AE2" w:rsidRDefault="00F93C2A" w:rsidP="007D3F12">
      <w:pPr>
        <w:pStyle w:val="Luettelokappale"/>
        <w:numPr>
          <w:ilvl w:val="0"/>
          <w:numId w:val="3"/>
        </w:numPr>
        <w:rPr>
          <w:sz w:val="24"/>
          <w:szCs w:val="24"/>
        </w:rPr>
      </w:pPr>
      <w:r>
        <w:rPr>
          <w:sz w:val="24"/>
          <w:szCs w:val="24"/>
        </w:rPr>
        <w:t>Arvonkorotusrahasto kuuluu osakeyhtiöllä vapaaseen omaan pääomaan.</w:t>
      </w:r>
    </w:p>
    <w:p w:rsidR="00F93C2A" w:rsidRDefault="00F93C2A" w:rsidP="007D3F12">
      <w:pPr>
        <w:pStyle w:val="Luettelokappale"/>
        <w:numPr>
          <w:ilvl w:val="0"/>
          <w:numId w:val="3"/>
        </w:numPr>
        <w:rPr>
          <w:sz w:val="24"/>
          <w:szCs w:val="24"/>
        </w:rPr>
      </w:pPr>
      <w:r>
        <w:rPr>
          <w:sz w:val="24"/>
          <w:szCs w:val="24"/>
        </w:rPr>
        <w:t>Arvonlisäverollinen myynti 200 plus alv 48 kirjattaisiin: per myyntisaamiset 248, an myynti 200 an myynnin alv 48.</w:t>
      </w:r>
    </w:p>
    <w:p w:rsidR="00F93C2A" w:rsidRDefault="00F93C2A" w:rsidP="007D3F12">
      <w:pPr>
        <w:pStyle w:val="Luettelokappale"/>
        <w:numPr>
          <w:ilvl w:val="0"/>
          <w:numId w:val="3"/>
        </w:numPr>
        <w:rPr>
          <w:sz w:val="24"/>
          <w:szCs w:val="24"/>
        </w:rPr>
      </w:pPr>
      <w:r>
        <w:rPr>
          <w:sz w:val="24"/>
          <w:szCs w:val="24"/>
        </w:rPr>
        <w:t>Asiakkaalle lähetetty hyvityslasku 50 plus alv 12 kirjataan: per myynti 62, an myyntisaamiset 50 an myynnin alv 12.</w:t>
      </w:r>
    </w:p>
    <w:p w:rsidR="00F93C2A" w:rsidRDefault="00F93C2A" w:rsidP="007D3F12">
      <w:pPr>
        <w:pStyle w:val="Luettelokappale"/>
        <w:numPr>
          <w:ilvl w:val="0"/>
          <w:numId w:val="3"/>
        </w:numPr>
        <w:rPr>
          <w:sz w:val="24"/>
          <w:szCs w:val="24"/>
        </w:rPr>
      </w:pPr>
      <w:r>
        <w:rPr>
          <w:sz w:val="24"/>
          <w:szCs w:val="24"/>
        </w:rPr>
        <w:t>Asiakkaalta oleva myyntisaaminen 124 (</w:t>
      </w:r>
      <w:proofErr w:type="spellStart"/>
      <w:r>
        <w:rPr>
          <w:sz w:val="24"/>
          <w:szCs w:val="24"/>
        </w:rPr>
        <w:t>sis.alv</w:t>
      </w:r>
      <w:proofErr w:type="spellEnd"/>
      <w:r>
        <w:rPr>
          <w:sz w:val="24"/>
          <w:szCs w:val="24"/>
        </w:rPr>
        <w:t xml:space="preserve"> 24) kirjataan luottotappioksi: per myynti 100, per myynnin alv an myyntisaamiset 124.</w:t>
      </w:r>
    </w:p>
    <w:p w:rsidR="00F93C2A" w:rsidRDefault="009149FF" w:rsidP="007D3F12">
      <w:pPr>
        <w:pStyle w:val="Luettelokappale"/>
        <w:numPr>
          <w:ilvl w:val="0"/>
          <w:numId w:val="3"/>
        </w:numPr>
        <w:rPr>
          <w:sz w:val="24"/>
          <w:szCs w:val="24"/>
        </w:rPr>
      </w:pPr>
      <w:r>
        <w:rPr>
          <w:sz w:val="24"/>
          <w:szCs w:val="24"/>
        </w:rPr>
        <w:t xml:space="preserve">Tavaran osto Ruotsista (lasku 200 €, laskussa alv </w:t>
      </w:r>
      <w:proofErr w:type="gramStart"/>
      <w:r>
        <w:rPr>
          <w:sz w:val="24"/>
          <w:szCs w:val="24"/>
        </w:rPr>
        <w:t>0%</w:t>
      </w:r>
      <w:proofErr w:type="gramEnd"/>
      <w:r>
        <w:rPr>
          <w:sz w:val="24"/>
          <w:szCs w:val="24"/>
        </w:rPr>
        <w:t>) kirjataan: per ostot 200, per ostojen alv 48, an ostovelat 200 an yhteisöhankintojen alv 48.</w:t>
      </w:r>
    </w:p>
    <w:p w:rsidR="009149FF" w:rsidRDefault="00DF08FE" w:rsidP="007D3F12">
      <w:pPr>
        <w:pStyle w:val="Luettelokappale"/>
        <w:numPr>
          <w:ilvl w:val="0"/>
          <w:numId w:val="3"/>
        </w:numPr>
        <w:rPr>
          <w:sz w:val="24"/>
          <w:szCs w:val="24"/>
        </w:rPr>
      </w:pPr>
      <w:r>
        <w:rPr>
          <w:sz w:val="24"/>
          <w:szCs w:val="24"/>
        </w:rPr>
        <w:t>Yksityisliikkeen kirjanpito pidettiin maksuperusteella. Omistaja sijoitti yritykseen 400. Väite: Omistaj</w:t>
      </w:r>
      <w:r w:rsidR="009F7FCB">
        <w:rPr>
          <w:sz w:val="24"/>
          <w:szCs w:val="24"/>
        </w:rPr>
        <w:t>an sijoitus kirjataan</w:t>
      </w:r>
      <w:r>
        <w:rPr>
          <w:sz w:val="24"/>
          <w:szCs w:val="24"/>
        </w:rPr>
        <w:t xml:space="preserve"> per pankki 400 an Velat omistajille 400.</w:t>
      </w:r>
    </w:p>
    <w:p w:rsidR="00DF08FE" w:rsidRDefault="00DF08FE" w:rsidP="007D3F12">
      <w:pPr>
        <w:pStyle w:val="Luettelokappale"/>
        <w:numPr>
          <w:ilvl w:val="0"/>
          <w:numId w:val="3"/>
        </w:numPr>
        <w:rPr>
          <w:sz w:val="24"/>
          <w:szCs w:val="24"/>
        </w:rPr>
      </w:pPr>
      <w:r>
        <w:rPr>
          <w:sz w:val="24"/>
          <w:szCs w:val="24"/>
        </w:rPr>
        <w:t>Kohdan 20 yksityisliikkeen omistaja maksoi liikkeensä vuokran 200 omalta pankkitililtään. Väite: Tapahtuma kirjataan per muut menot 200 an oma pääoma 200.</w:t>
      </w:r>
    </w:p>
    <w:p w:rsidR="00DF08FE" w:rsidRDefault="00DF08FE" w:rsidP="007D3F12">
      <w:pPr>
        <w:pStyle w:val="Luettelokappale"/>
        <w:numPr>
          <w:ilvl w:val="0"/>
          <w:numId w:val="3"/>
        </w:numPr>
        <w:rPr>
          <w:sz w:val="24"/>
          <w:szCs w:val="24"/>
        </w:rPr>
      </w:pPr>
      <w:r>
        <w:rPr>
          <w:sz w:val="24"/>
          <w:szCs w:val="24"/>
        </w:rPr>
        <w:t>Kohdan 20 yksityisliikkeen omistaja otti omaan yksityistalou</w:t>
      </w:r>
      <w:r w:rsidR="009F7FCB">
        <w:rPr>
          <w:sz w:val="24"/>
          <w:szCs w:val="24"/>
        </w:rPr>
        <w:t>tensa käyttöön liikkeeseen</w:t>
      </w:r>
      <w:r>
        <w:rPr>
          <w:sz w:val="24"/>
          <w:szCs w:val="24"/>
        </w:rPr>
        <w:t xml:space="preserve"> myyntitarkoitukseen hankittuja tavaroita, joiden hankintameno oli 250 ja tavoiteltu myyntihinta 350. Väite: Omaan käyttöön otto kirjataan per oma pääoma an valmistus omaan käyttöön 250.</w:t>
      </w:r>
    </w:p>
    <w:p w:rsidR="00DF08FE" w:rsidRDefault="00DF08FE" w:rsidP="007D3F12">
      <w:pPr>
        <w:pStyle w:val="Luettelokappale"/>
        <w:numPr>
          <w:ilvl w:val="0"/>
          <w:numId w:val="3"/>
        </w:numPr>
        <w:rPr>
          <w:sz w:val="24"/>
          <w:szCs w:val="24"/>
        </w:rPr>
      </w:pPr>
      <w:r>
        <w:rPr>
          <w:sz w:val="24"/>
          <w:szCs w:val="24"/>
        </w:rPr>
        <w:t xml:space="preserve">Työntekijän rahapalkka oli 2800, lounasseteliedun verotusarvo 200, ennakonpidätys </w:t>
      </w:r>
      <w:proofErr w:type="gramStart"/>
      <w:r>
        <w:rPr>
          <w:sz w:val="24"/>
          <w:szCs w:val="24"/>
        </w:rPr>
        <w:t>30%</w:t>
      </w:r>
      <w:proofErr w:type="gramEnd"/>
      <w:r>
        <w:rPr>
          <w:sz w:val="24"/>
          <w:szCs w:val="24"/>
        </w:rPr>
        <w:t xml:space="preserve"> ja </w:t>
      </w:r>
      <w:proofErr w:type="spellStart"/>
      <w:r>
        <w:rPr>
          <w:sz w:val="24"/>
          <w:szCs w:val="24"/>
        </w:rPr>
        <w:t>TyEl-pidätys</w:t>
      </w:r>
      <w:proofErr w:type="spellEnd"/>
      <w:r>
        <w:rPr>
          <w:sz w:val="24"/>
          <w:szCs w:val="24"/>
        </w:rPr>
        <w:t xml:space="preserve"> 6%. Väite: Palkanmaksu kirjataan em. tiedoin per palkat 2800, an ennakonpidätysvelat 900, an eläkemenot 180 ja an pankki 1720.</w:t>
      </w:r>
    </w:p>
    <w:p w:rsidR="00DF08FE" w:rsidRDefault="00DF08FE" w:rsidP="007D3F12">
      <w:pPr>
        <w:pStyle w:val="Luettelokappale"/>
        <w:numPr>
          <w:ilvl w:val="0"/>
          <w:numId w:val="3"/>
        </w:numPr>
        <w:rPr>
          <w:sz w:val="24"/>
          <w:szCs w:val="24"/>
        </w:rPr>
      </w:pPr>
      <w:r>
        <w:rPr>
          <w:sz w:val="24"/>
          <w:szCs w:val="24"/>
        </w:rPr>
        <w:t>Tois</w:t>
      </w:r>
      <w:r w:rsidR="003A3902">
        <w:rPr>
          <w:sz w:val="24"/>
          <w:szCs w:val="24"/>
        </w:rPr>
        <w:t>en työntekijän rahapalkka oli 30</w:t>
      </w:r>
      <w:r>
        <w:rPr>
          <w:sz w:val="24"/>
          <w:szCs w:val="24"/>
        </w:rPr>
        <w:t xml:space="preserve">00, autoedun verotusarvo 500, ennakonpidätys </w:t>
      </w:r>
      <w:proofErr w:type="gramStart"/>
      <w:r>
        <w:rPr>
          <w:sz w:val="24"/>
          <w:szCs w:val="24"/>
        </w:rPr>
        <w:t>40%</w:t>
      </w:r>
      <w:proofErr w:type="gramEnd"/>
      <w:r>
        <w:rPr>
          <w:sz w:val="24"/>
          <w:szCs w:val="24"/>
        </w:rPr>
        <w:t xml:space="preserve"> ja </w:t>
      </w:r>
      <w:proofErr w:type="spellStart"/>
      <w:r>
        <w:rPr>
          <w:sz w:val="24"/>
          <w:szCs w:val="24"/>
        </w:rPr>
        <w:t>Tyel-pidätys</w:t>
      </w:r>
      <w:proofErr w:type="spellEnd"/>
      <w:r>
        <w:rPr>
          <w:sz w:val="24"/>
          <w:szCs w:val="24"/>
        </w:rPr>
        <w:t xml:space="preserve"> 6%. Työntekijä sai lisäksi verovapaita päivärahoja 300 ja lounasseteleitä, joista häneltä kuitenkin pidätettiin palkasta lounassetelien verotusarvo 100. Väite: Pal</w:t>
      </w:r>
      <w:r w:rsidR="003A3902">
        <w:rPr>
          <w:sz w:val="24"/>
          <w:szCs w:val="24"/>
        </w:rPr>
        <w:t>kanmaksu kirjataan per palkat 30</w:t>
      </w:r>
      <w:r>
        <w:rPr>
          <w:sz w:val="24"/>
          <w:szCs w:val="24"/>
        </w:rPr>
        <w:t xml:space="preserve">00, per muut menot 400, an ennakonpidätysvelat </w:t>
      </w:r>
      <w:r w:rsidR="003A3902">
        <w:rPr>
          <w:sz w:val="24"/>
          <w:szCs w:val="24"/>
        </w:rPr>
        <w:t>1400, an eläkemenot 210 an pankki 1790.</w:t>
      </w:r>
    </w:p>
    <w:p w:rsidR="003A3902" w:rsidRDefault="00DD6DFF" w:rsidP="007D3F12">
      <w:pPr>
        <w:pStyle w:val="Luettelokappale"/>
        <w:numPr>
          <w:ilvl w:val="0"/>
          <w:numId w:val="3"/>
        </w:numPr>
        <w:rPr>
          <w:sz w:val="24"/>
          <w:szCs w:val="24"/>
        </w:rPr>
      </w:pPr>
      <w:r>
        <w:rPr>
          <w:sz w:val="24"/>
          <w:szCs w:val="24"/>
        </w:rPr>
        <w:t xml:space="preserve">Osakeyhtiön yhtiökokous päätti korottaa osakepääomaa 300 osakkeella. Osakkeiden nimellisarvo oli 10 €/kpl. Osakkaat merkitsivät jo yhtiökokouksessa maksullisen annin 200 osaketta hintaan 15 €/kpl. Loput 100 osaketta annettiin ilmaisantina vanhojen omistusten suhteessa. </w:t>
      </w:r>
      <w:r w:rsidR="00D30B29">
        <w:rPr>
          <w:sz w:val="24"/>
          <w:szCs w:val="24"/>
        </w:rPr>
        <w:t xml:space="preserve">Ylikurssi päätettiin kirjata </w:t>
      </w:r>
      <w:proofErr w:type="spellStart"/>
      <w:r w:rsidR="00D30B29">
        <w:rPr>
          <w:sz w:val="24"/>
          <w:szCs w:val="24"/>
        </w:rPr>
        <w:t>SVOP-rahastoon</w:t>
      </w:r>
      <w:proofErr w:type="spellEnd"/>
      <w:r w:rsidR="00D30B29">
        <w:rPr>
          <w:sz w:val="24"/>
          <w:szCs w:val="24"/>
        </w:rPr>
        <w:t xml:space="preserve"> ja rahastoantiin päätettiin käyttää </w:t>
      </w:r>
      <w:r w:rsidR="00D30B29">
        <w:rPr>
          <w:sz w:val="24"/>
          <w:szCs w:val="24"/>
        </w:rPr>
        <w:lastRenderedPageBreak/>
        <w:t xml:space="preserve">edellisten kausien voittovaroja. </w:t>
      </w:r>
      <w:r>
        <w:rPr>
          <w:sz w:val="24"/>
          <w:szCs w:val="24"/>
        </w:rPr>
        <w:t xml:space="preserve">Väite: Em. tapahtumat kirjataan per muut saamiset </w:t>
      </w:r>
      <w:r w:rsidR="00C22513">
        <w:rPr>
          <w:sz w:val="24"/>
          <w:szCs w:val="24"/>
        </w:rPr>
        <w:t>3000 an osakeanti 3</w:t>
      </w:r>
      <w:r>
        <w:rPr>
          <w:sz w:val="24"/>
          <w:szCs w:val="24"/>
        </w:rPr>
        <w:t>000.</w:t>
      </w:r>
    </w:p>
    <w:p w:rsidR="00DD6DFF" w:rsidRDefault="00DD6DFF" w:rsidP="007D3F12">
      <w:pPr>
        <w:pStyle w:val="Luettelokappale"/>
        <w:numPr>
          <w:ilvl w:val="0"/>
          <w:numId w:val="3"/>
        </w:numPr>
        <w:rPr>
          <w:sz w:val="24"/>
          <w:szCs w:val="24"/>
        </w:rPr>
      </w:pPr>
      <w:r>
        <w:rPr>
          <w:sz w:val="24"/>
          <w:szCs w:val="24"/>
        </w:rPr>
        <w:t>Osakeyhtiö oli saanut ja kirjannut maksun päättämästään osakepääoman korotuksesta 3000. Korotus ilmoitettiin rekisteröitäväksi ja pian saatiin ilmoitus korotuksen rekisteröinnistä. Väite: Tämän jälkeen kirjataan per osakepääoma an osakeanti 3000.</w:t>
      </w:r>
    </w:p>
    <w:p w:rsidR="00DD6DFF" w:rsidRDefault="00DD6DFF" w:rsidP="007D3F12">
      <w:pPr>
        <w:pStyle w:val="Luettelokappale"/>
        <w:numPr>
          <w:ilvl w:val="0"/>
          <w:numId w:val="3"/>
        </w:numPr>
        <w:rPr>
          <w:sz w:val="24"/>
          <w:szCs w:val="24"/>
        </w:rPr>
      </w:pPr>
      <w:r>
        <w:rPr>
          <w:sz w:val="24"/>
          <w:szCs w:val="24"/>
        </w:rPr>
        <w:t xml:space="preserve">Osakeyhtiön oman pääoman sisältö oli seuraava: osakepääoma 500, ylikurssirahasto 800, sijoitetun vapaan oman pääoman rahasto 400, käyvän arvon rahasto 100 ja edellisten kausien voitot 600. Yrityksen rahoitustilanne oli hyvä. Väite: Maksimi jaettavan osingon määrä olisi em. tiedoin </w:t>
      </w:r>
      <w:r w:rsidR="00FB7BE3">
        <w:rPr>
          <w:sz w:val="24"/>
          <w:szCs w:val="24"/>
        </w:rPr>
        <w:t>1100.</w:t>
      </w:r>
    </w:p>
    <w:p w:rsidR="00FB7BE3" w:rsidRDefault="003E537C" w:rsidP="007D3F12">
      <w:pPr>
        <w:pStyle w:val="Luettelokappale"/>
        <w:numPr>
          <w:ilvl w:val="0"/>
          <w:numId w:val="3"/>
        </w:numPr>
        <w:rPr>
          <w:sz w:val="24"/>
          <w:szCs w:val="24"/>
        </w:rPr>
      </w:pPr>
      <w:r>
        <w:rPr>
          <w:sz w:val="24"/>
          <w:szCs w:val="24"/>
        </w:rPr>
        <w:t xml:space="preserve">Yrityksellä oli pitkäaikainen (5v.) </w:t>
      </w:r>
      <w:proofErr w:type="spellStart"/>
      <w:r>
        <w:rPr>
          <w:sz w:val="24"/>
          <w:szCs w:val="24"/>
        </w:rPr>
        <w:t>kertalyhenteinen</w:t>
      </w:r>
      <w:proofErr w:type="spellEnd"/>
      <w:r>
        <w:rPr>
          <w:sz w:val="24"/>
          <w:szCs w:val="24"/>
        </w:rPr>
        <w:t xml:space="preserve"> laina USD 10 000, jonka kirjanpitoarvo oli 9000 euroa. Tilinpäätöshetkellä dollarin kurssi oli 0,95. Väite: Tilinpäätökseen on kirjattava kurssitappio per muut rahoituskulut an pitkäaikaiset lainat 500.</w:t>
      </w:r>
    </w:p>
    <w:p w:rsidR="003E537C" w:rsidRDefault="00C22513" w:rsidP="007D3F12">
      <w:pPr>
        <w:pStyle w:val="Luettelokappale"/>
        <w:numPr>
          <w:ilvl w:val="0"/>
          <w:numId w:val="3"/>
        </w:numPr>
        <w:rPr>
          <w:sz w:val="24"/>
          <w:szCs w:val="24"/>
        </w:rPr>
      </w:pPr>
      <w:r>
        <w:rPr>
          <w:sz w:val="24"/>
          <w:szCs w:val="24"/>
        </w:rPr>
        <w:t xml:space="preserve">Yrityksellä oli myös pitkäaikainen laina SEK 50 000, jonka kirjanpitoarvo oli 5000 €. Tilinpäätöshetkellä </w:t>
      </w:r>
      <w:proofErr w:type="spellStart"/>
      <w:r>
        <w:rPr>
          <w:sz w:val="24"/>
          <w:szCs w:val="24"/>
        </w:rPr>
        <w:t>SEK-kurssi</w:t>
      </w:r>
      <w:proofErr w:type="spellEnd"/>
      <w:r>
        <w:rPr>
          <w:sz w:val="24"/>
          <w:szCs w:val="24"/>
        </w:rPr>
        <w:t xml:space="preserve"> oli vain 0,08 euroa. </w:t>
      </w:r>
      <w:r w:rsidR="003E537C">
        <w:rPr>
          <w:sz w:val="24"/>
          <w:szCs w:val="24"/>
        </w:rPr>
        <w:t>Väite: Realisoitumatonta lainan kurssivoittoa ei ole pakko näyttää tilinpäätöksessä, joten lainan osalta ei tarvitse tehdä mitään kirjauksia tilinpäätökseen.</w:t>
      </w:r>
    </w:p>
    <w:p w:rsidR="003E537C" w:rsidRDefault="003E537C" w:rsidP="007D3F12">
      <w:pPr>
        <w:pStyle w:val="Luettelokappale"/>
        <w:numPr>
          <w:ilvl w:val="0"/>
          <w:numId w:val="3"/>
        </w:numPr>
        <w:rPr>
          <w:sz w:val="24"/>
          <w:szCs w:val="24"/>
        </w:rPr>
      </w:pPr>
      <w:r>
        <w:rPr>
          <w:sz w:val="24"/>
          <w:szCs w:val="24"/>
        </w:rPr>
        <w:t>Yritys osti tilikautensa puolivälissä tuotantokoneen, jonka hankintameno oli 5000, jäännösarvo 500 ja arvioitu pitoaika viisi vuotta. Koneen asennus- ja koekäyttöaika kesti kolme kuukautta, joten kone otettiin tuotannolliseen käyttöön 1.10. Väite: Koneesta tehdään tilinpäätökseen hankintavuonna suunnitelman mukaista poistoa 225.</w:t>
      </w:r>
    </w:p>
    <w:p w:rsidR="003E537C" w:rsidRDefault="003E537C" w:rsidP="007D3F12">
      <w:pPr>
        <w:pStyle w:val="Luettelokappale"/>
        <w:numPr>
          <w:ilvl w:val="0"/>
          <w:numId w:val="3"/>
        </w:numPr>
        <w:rPr>
          <w:sz w:val="24"/>
          <w:szCs w:val="24"/>
        </w:rPr>
      </w:pPr>
      <w:r>
        <w:rPr>
          <w:sz w:val="24"/>
          <w:szCs w:val="24"/>
        </w:rPr>
        <w:t>Tehtävän 30 koneen maksimipoisto sen hankintatilikauden tuloverotuksessa olisi 625.</w:t>
      </w:r>
    </w:p>
    <w:p w:rsidR="003E537C" w:rsidRDefault="003E537C" w:rsidP="007D3F12">
      <w:pPr>
        <w:pStyle w:val="Luettelokappale"/>
        <w:numPr>
          <w:ilvl w:val="0"/>
          <w:numId w:val="3"/>
        </w:numPr>
        <w:rPr>
          <w:sz w:val="24"/>
          <w:szCs w:val="24"/>
        </w:rPr>
      </w:pPr>
      <w:r>
        <w:rPr>
          <w:sz w:val="24"/>
          <w:szCs w:val="24"/>
        </w:rPr>
        <w:t>Yritys myi 1.4. erään rakennuksensa hintaan 4000. Rakennuksen tasearvo oli tilikauden alussa 2800 ja suunnitelmapoistot 400 per vuosi. Rakennuksesta oli tehty ylipoistoa verotusta varten yhteensä 500. Väite: Rakennuksen myynti kirjataan per poistot 100 an raken</w:t>
      </w:r>
      <w:r w:rsidR="006B5388">
        <w:rPr>
          <w:sz w:val="24"/>
          <w:szCs w:val="24"/>
        </w:rPr>
        <w:t>nus 100, per pankki 4000 per kertynyt poistoero 500 an rakennukset 2700 an muut tuotot 1800.</w:t>
      </w:r>
    </w:p>
    <w:p w:rsidR="006B5388" w:rsidRDefault="006B5388" w:rsidP="007D3F12">
      <w:pPr>
        <w:pStyle w:val="Luettelokappale"/>
        <w:numPr>
          <w:ilvl w:val="0"/>
          <w:numId w:val="3"/>
        </w:numPr>
        <w:rPr>
          <w:sz w:val="24"/>
          <w:szCs w:val="24"/>
        </w:rPr>
      </w:pPr>
      <w:r>
        <w:rPr>
          <w:sz w:val="24"/>
          <w:szCs w:val="24"/>
        </w:rPr>
        <w:t xml:space="preserve">Yrityksellä oli tapana tehdä takuuvarausta </w:t>
      </w:r>
      <w:proofErr w:type="gramStart"/>
      <w:r>
        <w:rPr>
          <w:sz w:val="24"/>
          <w:szCs w:val="24"/>
        </w:rPr>
        <w:t>1%</w:t>
      </w:r>
      <w:proofErr w:type="gramEnd"/>
      <w:r>
        <w:rPr>
          <w:sz w:val="24"/>
          <w:szCs w:val="24"/>
        </w:rPr>
        <w:t xml:space="preserve"> liikevaihdosta tulevien takuuvelvoitteiden aiheuttamien kustannusten kattamiseksi. Takuuvaraus oli tilikauden alussa 50 ja tilikauden liikevaihto 6000. Väite: Tilinpäätökseen tehdään takuuvarauksen osalta kirjaus per muut menot an pakolliset varaukset 10.</w:t>
      </w:r>
    </w:p>
    <w:p w:rsidR="006B5388" w:rsidRDefault="006B5388" w:rsidP="007D3F12">
      <w:pPr>
        <w:pStyle w:val="Luettelokappale"/>
        <w:numPr>
          <w:ilvl w:val="0"/>
          <w:numId w:val="3"/>
        </w:numPr>
        <w:rPr>
          <w:sz w:val="24"/>
          <w:szCs w:val="24"/>
        </w:rPr>
      </w:pPr>
      <w:r>
        <w:rPr>
          <w:sz w:val="24"/>
          <w:szCs w:val="24"/>
        </w:rPr>
        <w:t>Yritys rakennutti tehdasrakennuksen, jonka hankintameno oli 3000. Hankintaa varten saatiin investointiavustusta 1000. Tehdas otettiin käyttöön 1.7. ja sille tehtiin 25 vuoden tasapoistosuunnitelma ilman jäännösarvoa. Väite: Suunnitelmapoistona kirjattiin hankintavuonna summa 40.</w:t>
      </w:r>
    </w:p>
    <w:p w:rsidR="006B5388" w:rsidRDefault="006B5388" w:rsidP="007D3F12">
      <w:pPr>
        <w:pStyle w:val="Luettelokappale"/>
        <w:numPr>
          <w:ilvl w:val="0"/>
          <w:numId w:val="3"/>
        </w:numPr>
        <w:rPr>
          <w:sz w:val="24"/>
          <w:szCs w:val="24"/>
        </w:rPr>
      </w:pPr>
      <w:r>
        <w:rPr>
          <w:sz w:val="24"/>
          <w:szCs w:val="24"/>
        </w:rPr>
        <w:t>Yritys maksoi (ja kirjasi muihin menoihin) 1.10. vakuutusmaksua 600 kaudelta, joka ulottui maksuhetkestä 12 kuukautta eteenpäin. Väite: Vakuutusmaksu tulee jaksottaa tilinpäätöksessä kirjauksella per siirtosaamiset an muut menot 150.</w:t>
      </w:r>
    </w:p>
    <w:p w:rsidR="006B5388" w:rsidRDefault="006B5388" w:rsidP="007D3F12">
      <w:pPr>
        <w:pStyle w:val="Luettelokappale"/>
        <w:numPr>
          <w:ilvl w:val="0"/>
          <w:numId w:val="3"/>
        </w:numPr>
        <w:rPr>
          <w:sz w:val="24"/>
          <w:szCs w:val="24"/>
        </w:rPr>
      </w:pPr>
      <w:r>
        <w:rPr>
          <w:sz w:val="24"/>
          <w:szCs w:val="24"/>
        </w:rPr>
        <w:t>Yrityksen lainasta 5000 oli viimeksi maksettu korkoa (</w:t>
      </w:r>
      <w:proofErr w:type="gramStart"/>
      <w:r>
        <w:rPr>
          <w:sz w:val="24"/>
          <w:szCs w:val="24"/>
        </w:rPr>
        <w:t>6%</w:t>
      </w:r>
      <w:proofErr w:type="gramEnd"/>
      <w:r>
        <w:rPr>
          <w:sz w:val="24"/>
          <w:szCs w:val="24"/>
        </w:rPr>
        <w:t xml:space="preserve"> </w:t>
      </w:r>
      <w:proofErr w:type="spellStart"/>
      <w:r>
        <w:rPr>
          <w:sz w:val="24"/>
          <w:szCs w:val="24"/>
        </w:rPr>
        <w:t>p.a</w:t>
      </w:r>
      <w:proofErr w:type="spellEnd"/>
      <w:r>
        <w:rPr>
          <w:sz w:val="24"/>
          <w:szCs w:val="24"/>
        </w:rPr>
        <w:t>.) 1.9. Väite: Tilinpäätöksessä tulee tehdä korkojaksotus kirjauksella per korkomenot an siirtovelat 100.</w:t>
      </w:r>
    </w:p>
    <w:p w:rsidR="006B5388" w:rsidRDefault="00F71CF8" w:rsidP="007D3F12">
      <w:pPr>
        <w:pStyle w:val="Luettelokappale"/>
        <w:numPr>
          <w:ilvl w:val="0"/>
          <w:numId w:val="3"/>
        </w:numPr>
        <w:rPr>
          <w:sz w:val="24"/>
          <w:szCs w:val="24"/>
        </w:rPr>
      </w:pPr>
      <w:r>
        <w:rPr>
          <w:sz w:val="24"/>
          <w:szCs w:val="24"/>
        </w:rPr>
        <w:t xml:space="preserve">Liitteenä on erään osakeyhtiön tuloslaskelma ja tase (yksinkertaistettuina). Väite: Liitteen yrityksen </w:t>
      </w:r>
      <w:r w:rsidR="000D4742">
        <w:rPr>
          <w:sz w:val="24"/>
          <w:szCs w:val="24"/>
        </w:rPr>
        <w:t>kannattavuus näyttää parantuneen vuonna 2 ja olevan hyvällä tasolla.</w:t>
      </w:r>
    </w:p>
    <w:p w:rsidR="000D4742" w:rsidRDefault="000D4742" w:rsidP="007D3F12">
      <w:pPr>
        <w:pStyle w:val="Luettelokappale"/>
        <w:numPr>
          <w:ilvl w:val="0"/>
          <w:numId w:val="3"/>
        </w:numPr>
        <w:rPr>
          <w:sz w:val="24"/>
          <w:szCs w:val="24"/>
        </w:rPr>
      </w:pPr>
      <w:r>
        <w:rPr>
          <w:sz w:val="24"/>
          <w:szCs w:val="24"/>
        </w:rPr>
        <w:t>Liittee</w:t>
      </w:r>
      <w:r w:rsidR="002A0E41">
        <w:rPr>
          <w:sz w:val="24"/>
          <w:szCs w:val="24"/>
        </w:rPr>
        <w:t xml:space="preserve">n yrityksen </w:t>
      </w:r>
      <w:proofErr w:type="spellStart"/>
      <w:r w:rsidR="002A0E41">
        <w:rPr>
          <w:sz w:val="24"/>
          <w:szCs w:val="24"/>
        </w:rPr>
        <w:t>q</w:t>
      </w:r>
      <w:r w:rsidR="008321C4">
        <w:rPr>
          <w:sz w:val="24"/>
          <w:szCs w:val="24"/>
        </w:rPr>
        <w:t>uick</w:t>
      </w:r>
      <w:proofErr w:type="spellEnd"/>
      <w:r w:rsidR="008321C4">
        <w:rPr>
          <w:sz w:val="24"/>
          <w:szCs w:val="24"/>
        </w:rPr>
        <w:t xml:space="preserve"> </w:t>
      </w:r>
      <w:proofErr w:type="spellStart"/>
      <w:r w:rsidR="008321C4">
        <w:rPr>
          <w:sz w:val="24"/>
          <w:szCs w:val="24"/>
        </w:rPr>
        <w:t>ratio</w:t>
      </w:r>
      <w:proofErr w:type="spellEnd"/>
      <w:r w:rsidR="008321C4">
        <w:rPr>
          <w:sz w:val="24"/>
          <w:szCs w:val="24"/>
        </w:rPr>
        <w:t xml:space="preserve"> oli vuonna 2 noin 1,6</w:t>
      </w:r>
      <w:r w:rsidR="002A0E41">
        <w:rPr>
          <w:sz w:val="24"/>
          <w:szCs w:val="24"/>
        </w:rPr>
        <w:t xml:space="preserve"> ja maksuvalmius vaikutti olevan hyvällä tasolla.</w:t>
      </w:r>
    </w:p>
    <w:p w:rsidR="002A0E41" w:rsidRDefault="002A0E41" w:rsidP="007D3F12">
      <w:pPr>
        <w:pStyle w:val="Luettelokappale"/>
        <w:numPr>
          <w:ilvl w:val="0"/>
          <w:numId w:val="3"/>
        </w:numPr>
        <w:rPr>
          <w:sz w:val="24"/>
          <w:szCs w:val="24"/>
        </w:rPr>
      </w:pPr>
      <w:r>
        <w:rPr>
          <w:sz w:val="24"/>
          <w:szCs w:val="24"/>
        </w:rPr>
        <w:t>Liitteen yrityksen vakavaraisuus näyttää parantuneen hieman ja olleen vuonna 2 jo lähes hyvällä tasolla.</w:t>
      </w:r>
    </w:p>
    <w:p w:rsidR="00EE0FAE" w:rsidRDefault="00EE0FAE" w:rsidP="007D3F12">
      <w:pPr>
        <w:pStyle w:val="Luettelokappale"/>
        <w:numPr>
          <w:ilvl w:val="0"/>
          <w:numId w:val="3"/>
        </w:numPr>
        <w:rPr>
          <w:sz w:val="24"/>
          <w:szCs w:val="24"/>
        </w:rPr>
      </w:pPr>
      <w:r>
        <w:rPr>
          <w:sz w:val="24"/>
          <w:szCs w:val="24"/>
        </w:rPr>
        <w:t>Liitteen yrityksen investointien määrä vuonna 2 näyttää olleen 38.</w:t>
      </w:r>
    </w:p>
    <w:p w:rsidR="00EE0FAE" w:rsidRDefault="00EE0FAE" w:rsidP="007D3F12">
      <w:pPr>
        <w:pStyle w:val="Luettelokappale"/>
        <w:numPr>
          <w:ilvl w:val="0"/>
          <w:numId w:val="3"/>
        </w:numPr>
        <w:rPr>
          <w:sz w:val="24"/>
          <w:szCs w:val="24"/>
        </w:rPr>
      </w:pPr>
      <w:r>
        <w:rPr>
          <w:sz w:val="24"/>
          <w:szCs w:val="24"/>
        </w:rPr>
        <w:t>Liitteen yrityksen jakamien osinkojen määrä vuonna 2 näyttää olleen 30.</w:t>
      </w:r>
    </w:p>
    <w:p w:rsidR="002A0E41" w:rsidRDefault="002C205D" w:rsidP="007D3F12">
      <w:pPr>
        <w:pStyle w:val="Luettelokappale"/>
        <w:numPr>
          <w:ilvl w:val="0"/>
          <w:numId w:val="3"/>
        </w:numPr>
        <w:rPr>
          <w:sz w:val="24"/>
          <w:szCs w:val="24"/>
        </w:rPr>
      </w:pPr>
      <w:r>
        <w:rPr>
          <w:sz w:val="24"/>
          <w:szCs w:val="24"/>
        </w:rPr>
        <w:t xml:space="preserve">Pörssiyhtiön voitto oli 5,32 M€, osakkeiden määrä 2,35 </w:t>
      </w:r>
      <w:r w:rsidR="00CA4654">
        <w:rPr>
          <w:sz w:val="24"/>
          <w:szCs w:val="24"/>
        </w:rPr>
        <w:t xml:space="preserve">miljoonaa kappaletta </w:t>
      </w:r>
      <w:r>
        <w:rPr>
          <w:sz w:val="24"/>
          <w:szCs w:val="24"/>
        </w:rPr>
        <w:t xml:space="preserve">ja osakekurssi 38,8 euroa. </w:t>
      </w:r>
      <w:r w:rsidR="00077A10">
        <w:rPr>
          <w:sz w:val="24"/>
          <w:szCs w:val="24"/>
        </w:rPr>
        <w:t xml:space="preserve">Yhtiön taseen oma pääoma oli </w:t>
      </w:r>
      <w:r w:rsidR="00CA4654">
        <w:rPr>
          <w:sz w:val="24"/>
          <w:szCs w:val="24"/>
        </w:rPr>
        <w:t xml:space="preserve">60,9 M€ ja jaettavaksi päätetty osinko yhteensä 2,5 M€. </w:t>
      </w:r>
      <w:r>
        <w:rPr>
          <w:sz w:val="24"/>
          <w:szCs w:val="24"/>
        </w:rPr>
        <w:t>Väite: yrityksen P/E-luku oli 17,1.</w:t>
      </w:r>
    </w:p>
    <w:p w:rsidR="00077A10" w:rsidRDefault="00CA4654" w:rsidP="007D3F12">
      <w:pPr>
        <w:pStyle w:val="Luettelokappale"/>
        <w:numPr>
          <w:ilvl w:val="0"/>
          <w:numId w:val="3"/>
        </w:numPr>
        <w:rPr>
          <w:sz w:val="24"/>
          <w:szCs w:val="24"/>
        </w:rPr>
      </w:pPr>
      <w:r>
        <w:rPr>
          <w:sz w:val="24"/>
          <w:szCs w:val="24"/>
        </w:rPr>
        <w:lastRenderedPageBreak/>
        <w:t>Tehtävän 40 yhtiön P/B-luku oli 1,5.</w:t>
      </w:r>
    </w:p>
    <w:p w:rsidR="00CA4654" w:rsidRDefault="00CA4654" w:rsidP="007D3F12">
      <w:pPr>
        <w:pStyle w:val="Luettelokappale"/>
        <w:numPr>
          <w:ilvl w:val="0"/>
          <w:numId w:val="3"/>
        </w:numPr>
        <w:rPr>
          <w:sz w:val="24"/>
          <w:szCs w:val="24"/>
        </w:rPr>
      </w:pPr>
      <w:r>
        <w:rPr>
          <w:sz w:val="24"/>
          <w:szCs w:val="24"/>
        </w:rPr>
        <w:t>Tehtävän 40 yhtiön efektiivinen osinkotuotto oli 4,</w:t>
      </w:r>
      <w:proofErr w:type="gramStart"/>
      <w:r>
        <w:rPr>
          <w:sz w:val="24"/>
          <w:szCs w:val="24"/>
        </w:rPr>
        <w:t>1%</w:t>
      </w:r>
      <w:proofErr w:type="gramEnd"/>
      <w:r>
        <w:rPr>
          <w:sz w:val="24"/>
          <w:szCs w:val="24"/>
        </w:rPr>
        <w:t>.</w:t>
      </w:r>
    </w:p>
    <w:p w:rsidR="00CA4654" w:rsidRDefault="00EE0FAE" w:rsidP="007D3F12">
      <w:pPr>
        <w:pStyle w:val="Luettelokappale"/>
        <w:numPr>
          <w:ilvl w:val="0"/>
          <w:numId w:val="3"/>
        </w:numPr>
        <w:rPr>
          <w:sz w:val="24"/>
          <w:szCs w:val="24"/>
        </w:rPr>
      </w:pPr>
      <w:r>
        <w:rPr>
          <w:sz w:val="24"/>
          <w:szCs w:val="24"/>
        </w:rPr>
        <w:t>Osamaksukaupassa sekä myyjä että ostaja tilittävät arvonlisäveron hyödykkeen osamaksujen kertymisen mukaan.</w:t>
      </w:r>
    </w:p>
    <w:p w:rsidR="00EE0FAE" w:rsidRDefault="00BF31B0" w:rsidP="007D3F12">
      <w:pPr>
        <w:pStyle w:val="Luettelokappale"/>
        <w:numPr>
          <w:ilvl w:val="0"/>
          <w:numId w:val="3"/>
        </w:numPr>
        <w:rPr>
          <w:sz w:val="24"/>
          <w:szCs w:val="24"/>
        </w:rPr>
      </w:pPr>
      <w:r>
        <w:rPr>
          <w:sz w:val="24"/>
          <w:szCs w:val="24"/>
        </w:rPr>
        <w:t>Jos osakeyhtiön oma pääoma painuu tappioiden vuoksi negatiiviseksi, on yhtiöllä vuosi aikaa saada tavalla tai toisella oma pääoma jälleen positiiviseksi; muuten toiminta täytyy lopettaa.</w:t>
      </w:r>
    </w:p>
    <w:p w:rsidR="00BF31B0" w:rsidRDefault="00BF31B0" w:rsidP="007D3F12">
      <w:pPr>
        <w:pStyle w:val="Luettelokappale"/>
        <w:numPr>
          <w:ilvl w:val="0"/>
          <w:numId w:val="3"/>
        </w:numPr>
        <w:rPr>
          <w:sz w:val="24"/>
          <w:szCs w:val="24"/>
        </w:rPr>
      </w:pPr>
      <w:r>
        <w:rPr>
          <w:sz w:val="24"/>
          <w:szCs w:val="24"/>
        </w:rPr>
        <w:t>Suunnitelmapoistopakko koskee myös yhdistyksiä, mutta ei tavallisia asunto-osakeyhtiöitä.</w:t>
      </w:r>
    </w:p>
    <w:p w:rsidR="00BF31B0" w:rsidRDefault="00235389" w:rsidP="007D3F12">
      <w:pPr>
        <w:pStyle w:val="Luettelokappale"/>
        <w:numPr>
          <w:ilvl w:val="0"/>
          <w:numId w:val="3"/>
        </w:numPr>
        <w:rPr>
          <w:sz w:val="24"/>
          <w:szCs w:val="24"/>
        </w:rPr>
      </w:pPr>
      <w:r>
        <w:rPr>
          <w:sz w:val="24"/>
          <w:szCs w:val="24"/>
        </w:rPr>
        <w:t>Osakeyhtiön yhtiökokous päätti jakaa osinkona koko vapaan oman pääoman määrän, vaikka yhtiön tilintarkastaja oli kiinnittänyt kertomuksessaan huomiota yhtiön epätyydyttävään rahoitusasemaan. Yhtiön hallitus ei ollut laatinut erityistä rahoitusennustetta, ja yhtiö joutuikin konkurssiin puolen vuoden kuluttua osingonjaosta. Väite: Osingonjako tulkittaisiin luultavasti osakeyhtiölain vastaiseksi.</w:t>
      </w:r>
    </w:p>
    <w:p w:rsidR="00235389" w:rsidRDefault="00235389" w:rsidP="007D3F12">
      <w:pPr>
        <w:pStyle w:val="Luettelokappale"/>
        <w:numPr>
          <w:ilvl w:val="0"/>
          <w:numId w:val="3"/>
        </w:numPr>
        <w:rPr>
          <w:sz w:val="24"/>
          <w:szCs w:val="24"/>
        </w:rPr>
      </w:pPr>
      <w:r>
        <w:rPr>
          <w:sz w:val="24"/>
          <w:szCs w:val="24"/>
        </w:rPr>
        <w:t>Emoyhtiö jakoi tytäryhtiölleen konserniavustuksena 5 miljoonaa euroa. Väite: Saatu konserniavustus esitettäisiin tytäryhtiön tuloslaskelmassa liikevaihdon sijaan muuna liiketoiminnan tuottona.</w:t>
      </w:r>
    </w:p>
    <w:p w:rsidR="00235389" w:rsidRDefault="00811DDC" w:rsidP="007D3F12">
      <w:pPr>
        <w:pStyle w:val="Luettelokappale"/>
        <w:numPr>
          <w:ilvl w:val="0"/>
          <w:numId w:val="3"/>
        </w:numPr>
        <w:rPr>
          <w:sz w:val="24"/>
          <w:szCs w:val="24"/>
        </w:rPr>
      </w:pPr>
      <w:r>
        <w:rPr>
          <w:sz w:val="24"/>
          <w:szCs w:val="24"/>
        </w:rPr>
        <w:t xml:space="preserve">Yritys myi varastorakennuksensa ja sai siitä myyntivoittoa 4 M€. Väite: Myyntivoitto on verollista tuloa </w:t>
      </w:r>
      <w:proofErr w:type="spellStart"/>
      <w:r>
        <w:rPr>
          <w:sz w:val="24"/>
          <w:szCs w:val="24"/>
        </w:rPr>
        <w:t>EVL:n</w:t>
      </w:r>
      <w:proofErr w:type="spellEnd"/>
      <w:r>
        <w:rPr>
          <w:sz w:val="24"/>
          <w:szCs w:val="24"/>
        </w:rPr>
        <w:t xml:space="preserve"> mukaan, mutta sen verotus voidaan välttää tekemällä käyttöomaisuuden jälleenhankintavaraus.</w:t>
      </w:r>
    </w:p>
    <w:p w:rsidR="002C205D" w:rsidRDefault="002C205D" w:rsidP="002C205D">
      <w:pPr>
        <w:pStyle w:val="Luettelokappale"/>
        <w:rPr>
          <w:sz w:val="24"/>
          <w:szCs w:val="24"/>
        </w:rPr>
      </w:pPr>
    </w:p>
    <w:p w:rsidR="00DD6DFF" w:rsidRPr="00DD6DFF" w:rsidRDefault="00DD6DFF" w:rsidP="00DD6DFF">
      <w:pPr>
        <w:ind w:left="360"/>
        <w:rPr>
          <w:sz w:val="24"/>
          <w:szCs w:val="24"/>
        </w:rPr>
      </w:pPr>
    </w:p>
    <w:p w:rsidR="00842E06" w:rsidRDefault="00842E06">
      <w:pPr>
        <w:spacing w:after="200" w:line="276" w:lineRule="auto"/>
        <w:rPr>
          <w:sz w:val="24"/>
          <w:szCs w:val="24"/>
        </w:rPr>
      </w:pPr>
      <w:r>
        <w:rPr>
          <w:sz w:val="24"/>
          <w:szCs w:val="24"/>
        </w:rPr>
        <w:br w:type="page"/>
      </w:r>
    </w:p>
    <w:p w:rsidR="007070A1" w:rsidRDefault="007070A1">
      <w:pPr>
        <w:spacing w:after="200" w:line="276" w:lineRule="auto"/>
        <w:rPr>
          <w:rFonts w:ascii="Arial" w:hAnsi="Arial" w:cs="Arial"/>
          <w:sz w:val="24"/>
          <w:szCs w:val="24"/>
          <w:lang w:eastAsia="ar-SA"/>
        </w:rPr>
      </w:pPr>
    </w:p>
    <w:p w:rsidR="007070A1" w:rsidRPr="007070A1" w:rsidRDefault="007070A1" w:rsidP="007070A1">
      <w:pPr>
        <w:rPr>
          <w:sz w:val="24"/>
          <w:szCs w:val="24"/>
        </w:rPr>
      </w:pPr>
      <w:r w:rsidRPr="007070A1">
        <w:rPr>
          <w:sz w:val="24"/>
          <w:szCs w:val="24"/>
        </w:rPr>
        <w:t xml:space="preserve">Liite: </w:t>
      </w:r>
    </w:p>
    <w:tbl>
      <w:tblPr>
        <w:tblW w:w="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960"/>
        <w:gridCol w:w="960"/>
      </w:tblGrid>
      <w:tr w:rsidR="007070A1" w:rsidRPr="007070A1" w:rsidTr="00CA7BDB">
        <w:trPr>
          <w:trHeight w:val="255"/>
        </w:trPr>
        <w:tc>
          <w:tcPr>
            <w:tcW w:w="2500" w:type="dxa"/>
            <w:shd w:val="clear" w:color="auto" w:fill="auto"/>
            <w:noWrap/>
          </w:tcPr>
          <w:p w:rsidR="007070A1" w:rsidRPr="007070A1" w:rsidRDefault="00F71CF8" w:rsidP="007070A1">
            <w:pPr>
              <w:rPr>
                <w:rFonts w:ascii="Arial" w:hAnsi="Arial" w:cs="Arial"/>
              </w:rPr>
            </w:pPr>
            <w:proofErr w:type="spellStart"/>
            <w:r>
              <w:rPr>
                <w:rFonts w:ascii="Arial" w:hAnsi="Arial" w:cs="Arial"/>
              </w:rPr>
              <w:t>KaVi</w:t>
            </w:r>
            <w:proofErr w:type="spellEnd"/>
            <w:r w:rsidR="007070A1" w:rsidRPr="007070A1">
              <w:rPr>
                <w:rFonts w:ascii="Arial" w:hAnsi="Arial" w:cs="Arial"/>
              </w:rPr>
              <w:t xml:space="preserve"> Oy</w:t>
            </w:r>
          </w:p>
        </w:tc>
        <w:tc>
          <w:tcPr>
            <w:tcW w:w="960" w:type="dxa"/>
            <w:shd w:val="clear" w:color="auto" w:fill="auto"/>
            <w:noWrap/>
          </w:tcPr>
          <w:p w:rsidR="007070A1" w:rsidRPr="007070A1" w:rsidRDefault="007070A1" w:rsidP="007070A1">
            <w:pPr>
              <w:rPr>
                <w:rFonts w:ascii="Arial" w:hAnsi="Arial" w:cs="Arial"/>
              </w:rPr>
            </w:pPr>
          </w:p>
        </w:tc>
        <w:tc>
          <w:tcPr>
            <w:tcW w:w="960" w:type="dxa"/>
            <w:shd w:val="clear" w:color="auto" w:fill="auto"/>
            <w:noWrap/>
          </w:tcPr>
          <w:p w:rsidR="007070A1" w:rsidRPr="007070A1" w:rsidRDefault="007070A1" w:rsidP="007070A1">
            <w:pPr>
              <w:rPr>
                <w:rFonts w:ascii="Arial" w:hAnsi="Arial" w:cs="Arial"/>
              </w:rPr>
            </w:pP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b/>
              </w:rPr>
            </w:pPr>
            <w:r w:rsidRPr="007070A1">
              <w:rPr>
                <w:rFonts w:ascii="Arial" w:hAnsi="Arial" w:cs="Arial"/>
                <w:b/>
              </w:rPr>
              <w:t>Tuloslaskelma</w:t>
            </w:r>
          </w:p>
        </w:tc>
        <w:tc>
          <w:tcPr>
            <w:tcW w:w="960" w:type="dxa"/>
            <w:shd w:val="clear" w:color="auto" w:fill="auto"/>
            <w:noWrap/>
          </w:tcPr>
          <w:p w:rsidR="007070A1" w:rsidRPr="007070A1" w:rsidRDefault="007070A1" w:rsidP="007070A1">
            <w:pPr>
              <w:jc w:val="center"/>
              <w:rPr>
                <w:rFonts w:ascii="Arial" w:hAnsi="Arial" w:cs="Arial"/>
              </w:rPr>
            </w:pPr>
            <w:r w:rsidRPr="007070A1">
              <w:rPr>
                <w:rFonts w:ascii="Arial" w:hAnsi="Arial" w:cs="Arial"/>
              </w:rPr>
              <w:t>vuosi 2</w:t>
            </w:r>
          </w:p>
        </w:tc>
        <w:tc>
          <w:tcPr>
            <w:tcW w:w="960" w:type="dxa"/>
            <w:shd w:val="clear" w:color="auto" w:fill="auto"/>
            <w:noWrap/>
          </w:tcPr>
          <w:p w:rsidR="007070A1" w:rsidRPr="007070A1" w:rsidRDefault="007070A1" w:rsidP="007070A1">
            <w:pPr>
              <w:jc w:val="center"/>
              <w:rPr>
                <w:rFonts w:ascii="Arial" w:hAnsi="Arial" w:cs="Arial"/>
              </w:rPr>
            </w:pPr>
            <w:r w:rsidRPr="007070A1">
              <w:rPr>
                <w:rFonts w:ascii="Arial" w:hAnsi="Arial" w:cs="Arial"/>
              </w:rPr>
              <w:t>vuosi 1</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Liikevaihto</w:t>
            </w:r>
          </w:p>
        </w:tc>
        <w:tc>
          <w:tcPr>
            <w:tcW w:w="960" w:type="dxa"/>
            <w:shd w:val="clear" w:color="auto" w:fill="auto"/>
            <w:noWrap/>
          </w:tcPr>
          <w:p w:rsidR="007070A1" w:rsidRPr="007070A1" w:rsidRDefault="007070A1" w:rsidP="00F71CF8">
            <w:pPr>
              <w:jc w:val="right"/>
              <w:rPr>
                <w:rFonts w:ascii="Arial" w:hAnsi="Arial" w:cs="Arial"/>
              </w:rPr>
            </w:pPr>
            <w:r w:rsidRPr="007070A1">
              <w:rPr>
                <w:rFonts w:ascii="Arial" w:hAnsi="Arial" w:cs="Arial"/>
              </w:rPr>
              <w:t>1</w:t>
            </w:r>
            <w:r w:rsidR="00F71CF8">
              <w:rPr>
                <w:rFonts w:ascii="Arial" w:hAnsi="Arial" w:cs="Arial"/>
              </w:rPr>
              <w:t>1</w:t>
            </w:r>
            <w:r w:rsidR="00566569">
              <w:rPr>
                <w:rFonts w:ascii="Arial" w:hAnsi="Arial" w:cs="Arial"/>
              </w:rPr>
              <w:t>2</w:t>
            </w:r>
            <w:r w:rsidRPr="007070A1">
              <w:rPr>
                <w:rFonts w:ascii="Arial" w:hAnsi="Arial" w:cs="Arial"/>
              </w:rPr>
              <w:t>5</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1178</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Muut tuotot</w:t>
            </w:r>
          </w:p>
        </w:tc>
        <w:tc>
          <w:tcPr>
            <w:tcW w:w="960" w:type="dxa"/>
            <w:shd w:val="clear" w:color="auto" w:fill="auto"/>
            <w:noWrap/>
          </w:tcPr>
          <w:p w:rsidR="007070A1" w:rsidRPr="007070A1" w:rsidRDefault="00F71CF8" w:rsidP="007070A1">
            <w:pPr>
              <w:jc w:val="right"/>
              <w:rPr>
                <w:rFonts w:ascii="Arial" w:hAnsi="Arial" w:cs="Arial"/>
              </w:rPr>
            </w:pPr>
            <w:r>
              <w:rPr>
                <w:rFonts w:ascii="Arial" w:hAnsi="Arial" w:cs="Arial"/>
              </w:rPr>
              <w:t>0</w:t>
            </w:r>
          </w:p>
        </w:tc>
        <w:tc>
          <w:tcPr>
            <w:tcW w:w="960" w:type="dxa"/>
            <w:shd w:val="clear" w:color="auto" w:fill="auto"/>
            <w:noWrap/>
          </w:tcPr>
          <w:p w:rsidR="007070A1" w:rsidRPr="007070A1" w:rsidRDefault="00F71CF8" w:rsidP="007070A1">
            <w:pPr>
              <w:jc w:val="right"/>
              <w:rPr>
                <w:rFonts w:ascii="Arial" w:hAnsi="Arial" w:cs="Arial"/>
              </w:rPr>
            </w:pPr>
            <w:r>
              <w:rPr>
                <w:rFonts w:ascii="Arial" w:hAnsi="Arial" w:cs="Arial"/>
              </w:rPr>
              <w:t>37</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Ostot</w:t>
            </w:r>
          </w:p>
        </w:tc>
        <w:tc>
          <w:tcPr>
            <w:tcW w:w="960" w:type="dxa"/>
            <w:shd w:val="clear" w:color="auto" w:fill="auto"/>
            <w:noWrap/>
          </w:tcPr>
          <w:p w:rsidR="007070A1" w:rsidRPr="007070A1" w:rsidRDefault="007070A1" w:rsidP="00F71CF8">
            <w:pPr>
              <w:jc w:val="right"/>
              <w:rPr>
                <w:rFonts w:ascii="Arial" w:hAnsi="Arial" w:cs="Arial"/>
              </w:rPr>
            </w:pPr>
            <w:proofErr w:type="gramStart"/>
            <w:r w:rsidRPr="007070A1">
              <w:rPr>
                <w:rFonts w:ascii="Arial" w:hAnsi="Arial" w:cs="Arial"/>
              </w:rPr>
              <w:t>-</w:t>
            </w:r>
            <w:proofErr w:type="gramEnd"/>
            <w:r w:rsidRPr="007070A1">
              <w:rPr>
                <w:rFonts w:ascii="Arial" w:hAnsi="Arial" w:cs="Arial"/>
              </w:rPr>
              <w:t>5</w:t>
            </w:r>
            <w:r w:rsidR="00F71CF8">
              <w:rPr>
                <w:rFonts w:ascii="Arial" w:hAnsi="Arial" w:cs="Arial"/>
              </w:rPr>
              <w:t>0</w:t>
            </w:r>
            <w:r w:rsidRPr="007070A1">
              <w:rPr>
                <w:rFonts w:ascii="Arial" w:hAnsi="Arial" w:cs="Arial"/>
              </w:rPr>
              <w:t>2</w:t>
            </w:r>
          </w:p>
        </w:tc>
        <w:tc>
          <w:tcPr>
            <w:tcW w:w="960" w:type="dxa"/>
            <w:shd w:val="clear" w:color="auto" w:fill="auto"/>
            <w:noWrap/>
          </w:tcPr>
          <w:p w:rsidR="007070A1" w:rsidRPr="007070A1" w:rsidRDefault="007070A1" w:rsidP="007070A1">
            <w:pPr>
              <w:jc w:val="right"/>
              <w:rPr>
                <w:rFonts w:ascii="Arial" w:hAnsi="Arial" w:cs="Arial"/>
              </w:rPr>
            </w:pPr>
            <w:proofErr w:type="gramStart"/>
            <w:r w:rsidRPr="007070A1">
              <w:rPr>
                <w:rFonts w:ascii="Arial" w:hAnsi="Arial" w:cs="Arial"/>
              </w:rPr>
              <w:t>-</w:t>
            </w:r>
            <w:proofErr w:type="gramEnd"/>
            <w:r w:rsidRPr="007070A1">
              <w:rPr>
                <w:rFonts w:ascii="Arial" w:hAnsi="Arial" w:cs="Arial"/>
              </w:rPr>
              <w:t>561</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Varaston muutos</w:t>
            </w:r>
          </w:p>
        </w:tc>
        <w:tc>
          <w:tcPr>
            <w:tcW w:w="960" w:type="dxa"/>
            <w:shd w:val="clear" w:color="auto" w:fill="auto"/>
            <w:noWrap/>
          </w:tcPr>
          <w:p w:rsidR="007070A1" w:rsidRPr="007070A1" w:rsidRDefault="00F71CF8" w:rsidP="007070A1">
            <w:pPr>
              <w:jc w:val="right"/>
              <w:rPr>
                <w:rFonts w:ascii="Arial" w:hAnsi="Arial" w:cs="Arial"/>
              </w:rPr>
            </w:pPr>
            <w:proofErr w:type="gramStart"/>
            <w:r>
              <w:rPr>
                <w:rFonts w:ascii="Arial" w:hAnsi="Arial" w:cs="Arial"/>
              </w:rPr>
              <w:t>-</w:t>
            </w:r>
            <w:proofErr w:type="gramEnd"/>
            <w:r>
              <w:rPr>
                <w:rFonts w:ascii="Arial" w:hAnsi="Arial" w:cs="Arial"/>
              </w:rPr>
              <w:t>21</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38</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Henkilöstökulut</w:t>
            </w:r>
          </w:p>
        </w:tc>
        <w:tc>
          <w:tcPr>
            <w:tcW w:w="960" w:type="dxa"/>
            <w:shd w:val="clear" w:color="auto" w:fill="auto"/>
            <w:noWrap/>
          </w:tcPr>
          <w:p w:rsidR="007070A1" w:rsidRPr="007070A1" w:rsidRDefault="007070A1" w:rsidP="00F71CF8">
            <w:pPr>
              <w:jc w:val="right"/>
              <w:rPr>
                <w:rFonts w:ascii="Arial" w:hAnsi="Arial" w:cs="Arial"/>
              </w:rPr>
            </w:pPr>
            <w:proofErr w:type="gramStart"/>
            <w:r w:rsidRPr="007070A1">
              <w:rPr>
                <w:rFonts w:ascii="Arial" w:hAnsi="Arial" w:cs="Arial"/>
              </w:rPr>
              <w:t>-</w:t>
            </w:r>
            <w:proofErr w:type="gramEnd"/>
            <w:r w:rsidR="00F71CF8">
              <w:rPr>
                <w:rFonts w:ascii="Arial" w:hAnsi="Arial" w:cs="Arial"/>
              </w:rPr>
              <w:t>311</w:t>
            </w:r>
          </w:p>
        </w:tc>
        <w:tc>
          <w:tcPr>
            <w:tcW w:w="960" w:type="dxa"/>
            <w:shd w:val="clear" w:color="auto" w:fill="auto"/>
            <w:noWrap/>
          </w:tcPr>
          <w:p w:rsidR="007070A1" w:rsidRPr="007070A1" w:rsidRDefault="007070A1" w:rsidP="007070A1">
            <w:pPr>
              <w:jc w:val="right"/>
              <w:rPr>
                <w:rFonts w:ascii="Arial" w:hAnsi="Arial" w:cs="Arial"/>
              </w:rPr>
            </w:pPr>
            <w:proofErr w:type="gramStart"/>
            <w:r w:rsidRPr="007070A1">
              <w:rPr>
                <w:rFonts w:ascii="Arial" w:hAnsi="Arial" w:cs="Arial"/>
              </w:rPr>
              <w:t>-</w:t>
            </w:r>
            <w:proofErr w:type="gramEnd"/>
            <w:r w:rsidRPr="007070A1">
              <w:rPr>
                <w:rFonts w:ascii="Arial" w:hAnsi="Arial" w:cs="Arial"/>
              </w:rPr>
              <w:t>364</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Poistot</w:t>
            </w:r>
          </w:p>
        </w:tc>
        <w:tc>
          <w:tcPr>
            <w:tcW w:w="960" w:type="dxa"/>
            <w:shd w:val="clear" w:color="auto" w:fill="auto"/>
            <w:noWrap/>
          </w:tcPr>
          <w:p w:rsidR="007070A1" w:rsidRPr="007070A1" w:rsidRDefault="007070A1" w:rsidP="00F71CF8">
            <w:pPr>
              <w:jc w:val="right"/>
              <w:rPr>
                <w:rFonts w:ascii="Arial" w:hAnsi="Arial" w:cs="Arial"/>
              </w:rPr>
            </w:pPr>
            <w:proofErr w:type="gramStart"/>
            <w:r w:rsidRPr="007070A1">
              <w:rPr>
                <w:rFonts w:ascii="Arial" w:hAnsi="Arial" w:cs="Arial"/>
              </w:rPr>
              <w:t>-</w:t>
            </w:r>
            <w:proofErr w:type="gramEnd"/>
            <w:r w:rsidRPr="007070A1">
              <w:rPr>
                <w:rFonts w:ascii="Arial" w:hAnsi="Arial" w:cs="Arial"/>
              </w:rPr>
              <w:t>1</w:t>
            </w:r>
            <w:r w:rsidR="00F71CF8">
              <w:rPr>
                <w:rFonts w:ascii="Arial" w:hAnsi="Arial" w:cs="Arial"/>
              </w:rPr>
              <w:t>27</w:t>
            </w:r>
          </w:p>
        </w:tc>
        <w:tc>
          <w:tcPr>
            <w:tcW w:w="960" w:type="dxa"/>
            <w:shd w:val="clear" w:color="auto" w:fill="auto"/>
            <w:noWrap/>
          </w:tcPr>
          <w:p w:rsidR="007070A1" w:rsidRPr="007070A1" w:rsidRDefault="007070A1" w:rsidP="007070A1">
            <w:pPr>
              <w:jc w:val="right"/>
              <w:rPr>
                <w:rFonts w:ascii="Arial" w:hAnsi="Arial" w:cs="Arial"/>
              </w:rPr>
            </w:pPr>
            <w:proofErr w:type="gramStart"/>
            <w:r w:rsidRPr="007070A1">
              <w:rPr>
                <w:rFonts w:ascii="Arial" w:hAnsi="Arial" w:cs="Arial"/>
              </w:rPr>
              <w:t>-</w:t>
            </w:r>
            <w:proofErr w:type="gramEnd"/>
            <w:r w:rsidRPr="007070A1">
              <w:rPr>
                <w:rFonts w:ascii="Arial" w:hAnsi="Arial" w:cs="Arial"/>
              </w:rPr>
              <w:t>142</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Muut kulut</w:t>
            </w:r>
          </w:p>
        </w:tc>
        <w:tc>
          <w:tcPr>
            <w:tcW w:w="960" w:type="dxa"/>
            <w:shd w:val="clear" w:color="auto" w:fill="auto"/>
            <w:noWrap/>
          </w:tcPr>
          <w:p w:rsidR="007070A1" w:rsidRPr="007070A1" w:rsidRDefault="007070A1" w:rsidP="00F71CF8">
            <w:pPr>
              <w:jc w:val="right"/>
              <w:rPr>
                <w:rFonts w:ascii="Arial" w:hAnsi="Arial" w:cs="Arial"/>
              </w:rPr>
            </w:pPr>
            <w:proofErr w:type="gramStart"/>
            <w:r w:rsidRPr="007070A1">
              <w:rPr>
                <w:rFonts w:ascii="Arial" w:hAnsi="Arial" w:cs="Arial"/>
              </w:rPr>
              <w:t>-</w:t>
            </w:r>
            <w:proofErr w:type="gramEnd"/>
            <w:r w:rsidR="00F71CF8">
              <w:rPr>
                <w:rFonts w:ascii="Arial" w:hAnsi="Arial" w:cs="Arial"/>
              </w:rPr>
              <w:t>55</w:t>
            </w:r>
          </w:p>
        </w:tc>
        <w:tc>
          <w:tcPr>
            <w:tcW w:w="960" w:type="dxa"/>
            <w:shd w:val="clear" w:color="auto" w:fill="auto"/>
            <w:noWrap/>
          </w:tcPr>
          <w:p w:rsidR="007070A1" w:rsidRPr="007070A1" w:rsidRDefault="007070A1" w:rsidP="007070A1">
            <w:pPr>
              <w:jc w:val="right"/>
              <w:rPr>
                <w:rFonts w:ascii="Arial" w:hAnsi="Arial" w:cs="Arial"/>
              </w:rPr>
            </w:pPr>
            <w:proofErr w:type="gramStart"/>
            <w:r w:rsidRPr="007070A1">
              <w:rPr>
                <w:rFonts w:ascii="Arial" w:hAnsi="Arial" w:cs="Arial"/>
              </w:rPr>
              <w:t>-</w:t>
            </w:r>
            <w:proofErr w:type="gramEnd"/>
            <w:r w:rsidRPr="007070A1">
              <w:rPr>
                <w:rFonts w:ascii="Arial" w:hAnsi="Arial" w:cs="Arial"/>
              </w:rPr>
              <w:t>65</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Liikevoitto</w:t>
            </w:r>
          </w:p>
        </w:tc>
        <w:tc>
          <w:tcPr>
            <w:tcW w:w="960" w:type="dxa"/>
            <w:shd w:val="clear" w:color="auto" w:fill="auto"/>
            <w:noWrap/>
          </w:tcPr>
          <w:p w:rsidR="007070A1" w:rsidRPr="007070A1" w:rsidRDefault="00566569" w:rsidP="007070A1">
            <w:pPr>
              <w:jc w:val="right"/>
              <w:rPr>
                <w:rFonts w:ascii="Arial" w:hAnsi="Arial" w:cs="Arial"/>
              </w:rPr>
            </w:pPr>
            <w:r>
              <w:rPr>
                <w:rFonts w:ascii="Arial" w:hAnsi="Arial" w:cs="Arial"/>
              </w:rPr>
              <w:t>10</w:t>
            </w:r>
            <w:r w:rsidR="000D4742">
              <w:rPr>
                <w:rFonts w:ascii="Arial" w:hAnsi="Arial" w:cs="Arial"/>
              </w:rPr>
              <w:t>9</w:t>
            </w:r>
          </w:p>
        </w:tc>
        <w:tc>
          <w:tcPr>
            <w:tcW w:w="960" w:type="dxa"/>
            <w:shd w:val="clear" w:color="auto" w:fill="auto"/>
            <w:noWrap/>
          </w:tcPr>
          <w:p w:rsidR="007070A1" w:rsidRPr="007070A1" w:rsidRDefault="00F71CF8" w:rsidP="007070A1">
            <w:pPr>
              <w:jc w:val="right"/>
              <w:rPr>
                <w:rFonts w:ascii="Arial" w:hAnsi="Arial" w:cs="Arial"/>
              </w:rPr>
            </w:pPr>
            <w:r>
              <w:rPr>
                <w:rFonts w:ascii="Arial" w:hAnsi="Arial" w:cs="Arial"/>
              </w:rPr>
              <w:t>121</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Rahoituskulut</w:t>
            </w:r>
          </w:p>
        </w:tc>
        <w:tc>
          <w:tcPr>
            <w:tcW w:w="960" w:type="dxa"/>
            <w:shd w:val="clear" w:color="auto" w:fill="auto"/>
            <w:noWrap/>
          </w:tcPr>
          <w:p w:rsidR="007070A1" w:rsidRPr="007070A1" w:rsidRDefault="007070A1" w:rsidP="000D4742">
            <w:pPr>
              <w:jc w:val="right"/>
              <w:rPr>
                <w:rFonts w:ascii="Arial" w:hAnsi="Arial" w:cs="Arial"/>
              </w:rPr>
            </w:pPr>
            <w:proofErr w:type="gramStart"/>
            <w:r w:rsidRPr="007070A1">
              <w:rPr>
                <w:rFonts w:ascii="Arial" w:hAnsi="Arial" w:cs="Arial"/>
              </w:rPr>
              <w:t>-</w:t>
            </w:r>
            <w:proofErr w:type="gramEnd"/>
            <w:r w:rsidRPr="007070A1">
              <w:rPr>
                <w:rFonts w:ascii="Arial" w:hAnsi="Arial" w:cs="Arial"/>
              </w:rPr>
              <w:t>2</w:t>
            </w:r>
            <w:r w:rsidR="000D4742">
              <w:rPr>
                <w:rFonts w:ascii="Arial" w:hAnsi="Arial" w:cs="Arial"/>
              </w:rPr>
              <w:t>3</w:t>
            </w:r>
          </w:p>
        </w:tc>
        <w:tc>
          <w:tcPr>
            <w:tcW w:w="960" w:type="dxa"/>
            <w:shd w:val="clear" w:color="auto" w:fill="auto"/>
            <w:noWrap/>
          </w:tcPr>
          <w:p w:rsidR="007070A1" w:rsidRPr="007070A1" w:rsidRDefault="007070A1" w:rsidP="007070A1">
            <w:pPr>
              <w:jc w:val="right"/>
              <w:rPr>
                <w:rFonts w:ascii="Arial" w:hAnsi="Arial" w:cs="Arial"/>
              </w:rPr>
            </w:pPr>
            <w:proofErr w:type="gramStart"/>
            <w:r w:rsidRPr="007070A1">
              <w:rPr>
                <w:rFonts w:ascii="Arial" w:hAnsi="Arial" w:cs="Arial"/>
              </w:rPr>
              <w:t>-</w:t>
            </w:r>
            <w:proofErr w:type="gramEnd"/>
            <w:r w:rsidRPr="007070A1">
              <w:rPr>
                <w:rFonts w:ascii="Arial" w:hAnsi="Arial" w:cs="Arial"/>
              </w:rPr>
              <w:t>22</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Poistoeron muutos</w:t>
            </w:r>
          </w:p>
        </w:tc>
        <w:tc>
          <w:tcPr>
            <w:tcW w:w="960" w:type="dxa"/>
            <w:shd w:val="clear" w:color="auto" w:fill="auto"/>
            <w:noWrap/>
          </w:tcPr>
          <w:p w:rsidR="007070A1" w:rsidRPr="007070A1" w:rsidRDefault="007070A1" w:rsidP="000D4742">
            <w:pPr>
              <w:jc w:val="right"/>
              <w:rPr>
                <w:rFonts w:ascii="Arial" w:hAnsi="Arial" w:cs="Arial"/>
              </w:rPr>
            </w:pPr>
            <w:proofErr w:type="gramStart"/>
            <w:r w:rsidRPr="007070A1">
              <w:rPr>
                <w:rFonts w:ascii="Arial" w:hAnsi="Arial" w:cs="Arial"/>
              </w:rPr>
              <w:t>-</w:t>
            </w:r>
            <w:proofErr w:type="gramEnd"/>
            <w:r w:rsidR="000D4742">
              <w:rPr>
                <w:rFonts w:ascii="Arial" w:hAnsi="Arial" w:cs="Arial"/>
              </w:rPr>
              <w:t>20</w:t>
            </w:r>
          </w:p>
        </w:tc>
        <w:tc>
          <w:tcPr>
            <w:tcW w:w="960" w:type="dxa"/>
            <w:shd w:val="clear" w:color="auto" w:fill="auto"/>
            <w:noWrap/>
          </w:tcPr>
          <w:p w:rsidR="007070A1" w:rsidRPr="007070A1" w:rsidRDefault="007070A1" w:rsidP="000D4742">
            <w:pPr>
              <w:jc w:val="right"/>
              <w:rPr>
                <w:rFonts w:ascii="Arial" w:hAnsi="Arial" w:cs="Arial"/>
              </w:rPr>
            </w:pPr>
            <w:proofErr w:type="gramStart"/>
            <w:r w:rsidRPr="007070A1">
              <w:rPr>
                <w:rFonts w:ascii="Arial" w:hAnsi="Arial" w:cs="Arial"/>
              </w:rPr>
              <w:t>-</w:t>
            </w:r>
            <w:proofErr w:type="gramEnd"/>
            <w:r w:rsidR="000D4742">
              <w:rPr>
                <w:rFonts w:ascii="Arial" w:hAnsi="Arial" w:cs="Arial"/>
              </w:rPr>
              <w:t>15</w:t>
            </w:r>
          </w:p>
        </w:tc>
      </w:tr>
      <w:tr w:rsidR="00F71CF8" w:rsidRPr="007070A1" w:rsidTr="00CA7BDB">
        <w:trPr>
          <w:trHeight w:val="255"/>
        </w:trPr>
        <w:tc>
          <w:tcPr>
            <w:tcW w:w="2500" w:type="dxa"/>
            <w:shd w:val="clear" w:color="auto" w:fill="auto"/>
            <w:noWrap/>
          </w:tcPr>
          <w:p w:rsidR="00F71CF8" w:rsidRPr="007070A1" w:rsidRDefault="00F71CF8" w:rsidP="007070A1">
            <w:pPr>
              <w:rPr>
                <w:rFonts w:ascii="Arial" w:hAnsi="Arial" w:cs="Arial"/>
              </w:rPr>
            </w:pPr>
            <w:r>
              <w:rPr>
                <w:rFonts w:ascii="Arial" w:hAnsi="Arial" w:cs="Arial"/>
              </w:rPr>
              <w:t>Verot</w:t>
            </w:r>
          </w:p>
        </w:tc>
        <w:tc>
          <w:tcPr>
            <w:tcW w:w="960" w:type="dxa"/>
            <w:shd w:val="clear" w:color="auto" w:fill="auto"/>
            <w:noWrap/>
          </w:tcPr>
          <w:p w:rsidR="00F71CF8" w:rsidRPr="007070A1" w:rsidRDefault="000D4742" w:rsidP="008321C4">
            <w:pPr>
              <w:jc w:val="right"/>
              <w:rPr>
                <w:rFonts w:ascii="Arial" w:hAnsi="Arial" w:cs="Arial"/>
              </w:rPr>
            </w:pPr>
            <w:proofErr w:type="gramStart"/>
            <w:r>
              <w:rPr>
                <w:rFonts w:ascii="Arial" w:hAnsi="Arial" w:cs="Arial"/>
              </w:rPr>
              <w:t>-</w:t>
            </w:r>
            <w:proofErr w:type="gramEnd"/>
            <w:r w:rsidR="00566569">
              <w:rPr>
                <w:rFonts w:ascii="Arial" w:hAnsi="Arial" w:cs="Arial"/>
              </w:rPr>
              <w:t>1</w:t>
            </w:r>
            <w:r w:rsidR="008321C4">
              <w:rPr>
                <w:rFonts w:ascii="Arial" w:hAnsi="Arial" w:cs="Arial"/>
              </w:rPr>
              <w:t>4</w:t>
            </w:r>
          </w:p>
        </w:tc>
        <w:tc>
          <w:tcPr>
            <w:tcW w:w="960" w:type="dxa"/>
            <w:shd w:val="clear" w:color="auto" w:fill="auto"/>
            <w:noWrap/>
          </w:tcPr>
          <w:p w:rsidR="00F71CF8" w:rsidRPr="007070A1" w:rsidRDefault="000D4742" w:rsidP="007070A1">
            <w:pPr>
              <w:jc w:val="right"/>
              <w:rPr>
                <w:rFonts w:ascii="Arial" w:hAnsi="Arial" w:cs="Arial"/>
              </w:rPr>
            </w:pPr>
            <w:proofErr w:type="gramStart"/>
            <w:r>
              <w:rPr>
                <w:rFonts w:ascii="Arial" w:hAnsi="Arial" w:cs="Arial"/>
              </w:rPr>
              <w:t>-</w:t>
            </w:r>
            <w:proofErr w:type="gramEnd"/>
            <w:r>
              <w:rPr>
                <w:rFonts w:ascii="Arial" w:hAnsi="Arial" w:cs="Arial"/>
              </w:rPr>
              <w:t>17</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Tilikauden tulos</w:t>
            </w:r>
          </w:p>
        </w:tc>
        <w:tc>
          <w:tcPr>
            <w:tcW w:w="960" w:type="dxa"/>
            <w:shd w:val="clear" w:color="auto" w:fill="auto"/>
            <w:noWrap/>
          </w:tcPr>
          <w:p w:rsidR="007070A1" w:rsidRPr="007070A1" w:rsidRDefault="00566569" w:rsidP="008321C4">
            <w:pPr>
              <w:jc w:val="right"/>
              <w:rPr>
                <w:rFonts w:ascii="Arial" w:hAnsi="Arial" w:cs="Arial"/>
              </w:rPr>
            </w:pPr>
            <w:r>
              <w:rPr>
                <w:rFonts w:ascii="Arial" w:hAnsi="Arial" w:cs="Arial"/>
              </w:rPr>
              <w:t>5</w:t>
            </w:r>
            <w:r w:rsidR="008321C4">
              <w:rPr>
                <w:rFonts w:ascii="Arial" w:hAnsi="Arial" w:cs="Arial"/>
              </w:rPr>
              <w:t>2</w:t>
            </w:r>
          </w:p>
        </w:tc>
        <w:tc>
          <w:tcPr>
            <w:tcW w:w="960" w:type="dxa"/>
            <w:shd w:val="clear" w:color="auto" w:fill="auto"/>
            <w:noWrap/>
          </w:tcPr>
          <w:p w:rsidR="007070A1" w:rsidRPr="007070A1" w:rsidRDefault="000D4742" w:rsidP="007070A1">
            <w:pPr>
              <w:jc w:val="right"/>
              <w:rPr>
                <w:rFonts w:ascii="Arial" w:hAnsi="Arial" w:cs="Arial"/>
              </w:rPr>
            </w:pPr>
            <w:r>
              <w:rPr>
                <w:rFonts w:ascii="Arial" w:hAnsi="Arial" w:cs="Arial"/>
              </w:rPr>
              <w:t>67</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p>
        </w:tc>
        <w:tc>
          <w:tcPr>
            <w:tcW w:w="960" w:type="dxa"/>
            <w:shd w:val="clear" w:color="auto" w:fill="auto"/>
            <w:noWrap/>
          </w:tcPr>
          <w:p w:rsidR="007070A1" w:rsidRPr="007070A1" w:rsidRDefault="007070A1" w:rsidP="007070A1">
            <w:pPr>
              <w:rPr>
                <w:rFonts w:ascii="Arial" w:hAnsi="Arial" w:cs="Arial"/>
              </w:rPr>
            </w:pPr>
          </w:p>
        </w:tc>
        <w:tc>
          <w:tcPr>
            <w:tcW w:w="960" w:type="dxa"/>
            <w:shd w:val="clear" w:color="auto" w:fill="auto"/>
            <w:noWrap/>
          </w:tcPr>
          <w:p w:rsidR="007070A1" w:rsidRPr="007070A1" w:rsidRDefault="007070A1" w:rsidP="007070A1">
            <w:pPr>
              <w:rPr>
                <w:rFonts w:ascii="Arial" w:hAnsi="Arial" w:cs="Arial"/>
              </w:rPr>
            </w:pP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b/>
              </w:rPr>
            </w:pPr>
            <w:r w:rsidRPr="007070A1">
              <w:rPr>
                <w:rFonts w:ascii="Arial" w:hAnsi="Arial" w:cs="Arial"/>
                <w:b/>
              </w:rPr>
              <w:t>Tase, vastaavaa</w:t>
            </w:r>
          </w:p>
        </w:tc>
        <w:tc>
          <w:tcPr>
            <w:tcW w:w="960" w:type="dxa"/>
            <w:shd w:val="clear" w:color="auto" w:fill="auto"/>
            <w:noWrap/>
          </w:tcPr>
          <w:p w:rsidR="007070A1" w:rsidRPr="007070A1" w:rsidRDefault="007070A1" w:rsidP="007070A1">
            <w:pPr>
              <w:rPr>
                <w:rFonts w:ascii="Arial" w:hAnsi="Arial" w:cs="Arial"/>
              </w:rPr>
            </w:pPr>
          </w:p>
        </w:tc>
        <w:tc>
          <w:tcPr>
            <w:tcW w:w="960" w:type="dxa"/>
            <w:shd w:val="clear" w:color="auto" w:fill="auto"/>
            <w:noWrap/>
          </w:tcPr>
          <w:p w:rsidR="007070A1" w:rsidRPr="007070A1" w:rsidRDefault="007070A1" w:rsidP="007070A1">
            <w:pPr>
              <w:rPr>
                <w:rFonts w:ascii="Arial" w:hAnsi="Arial" w:cs="Arial"/>
              </w:rPr>
            </w:pP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Koneet ja kalusto</w:t>
            </w:r>
          </w:p>
        </w:tc>
        <w:tc>
          <w:tcPr>
            <w:tcW w:w="960" w:type="dxa"/>
            <w:shd w:val="clear" w:color="auto" w:fill="auto"/>
            <w:noWrap/>
          </w:tcPr>
          <w:p w:rsidR="007070A1" w:rsidRPr="007070A1" w:rsidRDefault="000D4742" w:rsidP="007070A1">
            <w:pPr>
              <w:jc w:val="right"/>
              <w:rPr>
                <w:rFonts w:ascii="Arial" w:hAnsi="Arial" w:cs="Arial"/>
              </w:rPr>
            </w:pPr>
            <w:r>
              <w:rPr>
                <w:rFonts w:ascii="Arial" w:hAnsi="Arial" w:cs="Arial"/>
              </w:rPr>
              <w:t>26</w:t>
            </w:r>
            <w:r w:rsidR="007070A1" w:rsidRPr="007070A1">
              <w:rPr>
                <w:rFonts w:ascii="Arial" w:hAnsi="Arial" w:cs="Arial"/>
              </w:rPr>
              <w:t>4</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226</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Varastot</w:t>
            </w:r>
          </w:p>
        </w:tc>
        <w:tc>
          <w:tcPr>
            <w:tcW w:w="960" w:type="dxa"/>
            <w:shd w:val="clear" w:color="auto" w:fill="auto"/>
            <w:noWrap/>
          </w:tcPr>
          <w:p w:rsidR="007070A1" w:rsidRPr="007070A1" w:rsidRDefault="000D4742" w:rsidP="007070A1">
            <w:pPr>
              <w:jc w:val="right"/>
              <w:rPr>
                <w:rFonts w:ascii="Arial" w:hAnsi="Arial" w:cs="Arial"/>
              </w:rPr>
            </w:pPr>
            <w:r>
              <w:rPr>
                <w:rFonts w:ascii="Arial" w:hAnsi="Arial" w:cs="Arial"/>
              </w:rPr>
              <w:t>61</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82</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Myyntisaamiset</w:t>
            </w:r>
          </w:p>
        </w:tc>
        <w:tc>
          <w:tcPr>
            <w:tcW w:w="960" w:type="dxa"/>
            <w:shd w:val="clear" w:color="auto" w:fill="auto"/>
            <w:noWrap/>
          </w:tcPr>
          <w:p w:rsidR="007070A1" w:rsidRPr="007070A1" w:rsidRDefault="000D4742" w:rsidP="007070A1">
            <w:pPr>
              <w:jc w:val="right"/>
              <w:rPr>
                <w:rFonts w:ascii="Arial" w:hAnsi="Arial" w:cs="Arial"/>
              </w:rPr>
            </w:pPr>
            <w:r>
              <w:rPr>
                <w:rFonts w:ascii="Arial" w:hAnsi="Arial" w:cs="Arial"/>
              </w:rPr>
              <w:t>137</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165</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Siirtosaamiset</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14</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6</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Pankkitili</w:t>
            </w:r>
          </w:p>
        </w:tc>
        <w:tc>
          <w:tcPr>
            <w:tcW w:w="960" w:type="dxa"/>
            <w:shd w:val="clear" w:color="auto" w:fill="auto"/>
            <w:noWrap/>
          </w:tcPr>
          <w:p w:rsidR="007070A1" w:rsidRPr="007070A1" w:rsidRDefault="000D4742" w:rsidP="007070A1">
            <w:pPr>
              <w:jc w:val="right"/>
              <w:rPr>
                <w:rFonts w:ascii="Arial" w:hAnsi="Arial" w:cs="Arial"/>
              </w:rPr>
            </w:pPr>
            <w:r>
              <w:rPr>
                <w:rFonts w:ascii="Arial" w:hAnsi="Arial" w:cs="Arial"/>
              </w:rPr>
              <w:t>167</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138</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Yhteensä</w:t>
            </w:r>
          </w:p>
        </w:tc>
        <w:tc>
          <w:tcPr>
            <w:tcW w:w="960" w:type="dxa"/>
            <w:shd w:val="clear" w:color="auto" w:fill="auto"/>
            <w:noWrap/>
          </w:tcPr>
          <w:p w:rsidR="007070A1" w:rsidRPr="007070A1" w:rsidRDefault="000D4742" w:rsidP="007070A1">
            <w:pPr>
              <w:jc w:val="right"/>
              <w:rPr>
                <w:rFonts w:ascii="Arial" w:hAnsi="Arial" w:cs="Arial"/>
              </w:rPr>
            </w:pPr>
            <w:r>
              <w:rPr>
                <w:rFonts w:ascii="Arial" w:hAnsi="Arial" w:cs="Arial"/>
              </w:rPr>
              <w:t>643</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617</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p>
        </w:tc>
        <w:tc>
          <w:tcPr>
            <w:tcW w:w="960" w:type="dxa"/>
            <w:shd w:val="clear" w:color="auto" w:fill="auto"/>
            <w:noWrap/>
          </w:tcPr>
          <w:p w:rsidR="007070A1" w:rsidRPr="007070A1" w:rsidRDefault="007070A1" w:rsidP="007070A1">
            <w:pPr>
              <w:rPr>
                <w:rFonts w:ascii="Arial" w:hAnsi="Arial" w:cs="Arial"/>
              </w:rPr>
            </w:pPr>
          </w:p>
        </w:tc>
        <w:tc>
          <w:tcPr>
            <w:tcW w:w="960" w:type="dxa"/>
            <w:shd w:val="clear" w:color="auto" w:fill="auto"/>
            <w:noWrap/>
          </w:tcPr>
          <w:p w:rsidR="007070A1" w:rsidRPr="007070A1" w:rsidRDefault="007070A1" w:rsidP="007070A1">
            <w:pPr>
              <w:rPr>
                <w:rFonts w:ascii="Arial" w:hAnsi="Arial" w:cs="Arial"/>
              </w:rPr>
            </w:pP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b/>
              </w:rPr>
            </w:pPr>
            <w:r w:rsidRPr="007070A1">
              <w:rPr>
                <w:rFonts w:ascii="Arial" w:hAnsi="Arial" w:cs="Arial"/>
                <w:b/>
              </w:rPr>
              <w:t>Tase, vastattavaa</w:t>
            </w:r>
          </w:p>
        </w:tc>
        <w:tc>
          <w:tcPr>
            <w:tcW w:w="960" w:type="dxa"/>
            <w:shd w:val="clear" w:color="auto" w:fill="auto"/>
            <w:noWrap/>
          </w:tcPr>
          <w:p w:rsidR="007070A1" w:rsidRPr="007070A1" w:rsidRDefault="007070A1" w:rsidP="007070A1">
            <w:pPr>
              <w:rPr>
                <w:rFonts w:ascii="Arial" w:hAnsi="Arial" w:cs="Arial"/>
              </w:rPr>
            </w:pPr>
          </w:p>
        </w:tc>
        <w:tc>
          <w:tcPr>
            <w:tcW w:w="960" w:type="dxa"/>
            <w:shd w:val="clear" w:color="auto" w:fill="auto"/>
            <w:noWrap/>
          </w:tcPr>
          <w:p w:rsidR="007070A1" w:rsidRPr="007070A1" w:rsidRDefault="007070A1" w:rsidP="007070A1">
            <w:pPr>
              <w:rPr>
                <w:rFonts w:ascii="Arial" w:hAnsi="Arial" w:cs="Arial"/>
              </w:rPr>
            </w:pP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Osakepääoma</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50</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50</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Ed. tilikausien voitot</w:t>
            </w:r>
          </w:p>
        </w:tc>
        <w:tc>
          <w:tcPr>
            <w:tcW w:w="960" w:type="dxa"/>
            <w:shd w:val="clear" w:color="auto" w:fill="auto"/>
            <w:noWrap/>
          </w:tcPr>
          <w:p w:rsidR="007070A1" w:rsidRPr="007070A1" w:rsidRDefault="000D4742" w:rsidP="008321C4">
            <w:pPr>
              <w:jc w:val="right"/>
              <w:rPr>
                <w:rFonts w:ascii="Arial" w:hAnsi="Arial" w:cs="Arial"/>
              </w:rPr>
            </w:pPr>
            <w:r>
              <w:rPr>
                <w:rFonts w:ascii="Arial" w:hAnsi="Arial" w:cs="Arial"/>
              </w:rPr>
              <w:t>1</w:t>
            </w:r>
            <w:r w:rsidR="008321C4">
              <w:rPr>
                <w:rFonts w:ascii="Arial" w:hAnsi="Arial" w:cs="Arial"/>
              </w:rPr>
              <w:t>1</w:t>
            </w:r>
            <w:r w:rsidR="00566569">
              <w:rPr>
                <w:rFonts w:ascii="Arial" w:hAnsi="Arial" w:cs="Arial"/>
              </w:rPr>
              <w:t>4</w:t>
            </w:r>
          </w:p>
        </w:tc>
        <w:tc>
          <w:tcPr>
            <w:tcW w:w="960" w:type="dxa"/>
            <w:shd w:val="clear" w:color="auto" w:fill="auto"/>
            <w:noWrap/>
          </w:tcPr>
          <w:p w:rsidR="007070A1" w:rsidRPr="007070A1" w:rsidRDefault="000D4742" w:rsidP="007070A1">
            <w:pPr>
              <w:jc w:val="right"/>
              <w:rPr>
                <w:rFonts w:ascii="Arial" w:hAnsi="Arial" w:cs="Arial"/>
              </w:rPr>
            </w:pPr>
            <w:r>
              <w:rPr>
                <w:rFonts w:ascii="Arial" w:hAnsi="Arial" w:cs="Arial"/>
              </w:rPr>
              <w:t>7</w:t>
            </w:r>
            <w:r w:rsidR="007070A1" w:rsidRPr="007070A1">
              <w:rPr>
                <w:rFonts w:ascii="Arial" w:hAnsi="Arial" w:cs="Arial"/>
              </w:rPr>
              <w:t>7</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Tilikauden tulos</w:t>
            </w:r>
          </w:p>
        </w:tc>
        <w:tc>
          <w:tcPr>
            <w:tcW w:w="960" w:type="dxa"/>
            <w:shd w:val="clear" w:color="auto" w:fill="auto"/>
            <w:noWrap/>
          </w:tcPr>
          <w:p w:rsidR="007070A1" w:rsidRPr="007070A1" w:rsidRDefault="00566569" w:rsidP="008321C4">
            <w:pPr>
              <w:jc w:val="right"/>
              <w:rPr>
                <w:rFonts w:ascii="Arial" w:hAnsi="Arial" w:cs="Arial"/>
              </w:rPr>
            </w:pPr>
            <w:r>
              <w:rPr>
                <w:rFonts w:ascii="Arial" w:hAnsi="Arial" w:cs="Arial"/>
              </w:rPr>
              <w:t>5</w:t>
            </w:r>
            <w:r w:rsidR="008321C4">
              <w:rPr>
                <w:rFonts w:ascii="Arial" w:hAnsi="Arial" w:cs="Arial"/>
              </w:rPr>
              <w:t>2</w:t>
            </w:r>
          </w:p>
        </w:tc>
        <w:tc>
          <w:tcPr>
            <w:tcW w:w="960" w:type="dxa"/>
            <w:shd w:val="clear" w:color="auto" w:fill="auto"/>
            <w:noWrap/>
          </w:tcPr>
          <w:p w:rsidR="007070A1" w:rsidRPr="007070A1" w:rsidRDefault="000D4742" w:rsidP="007070A1">
            <w:pPr>
              <w:jc w:val="right"/>
              <w:rPr>
                <w:rFonts w:ascii="Arial" w:hAnsi="Arial" w:cs="Arial"/>
              </w:rPr>
            </w:pPr>
            <w:r>
              <w:rPr>
                <w:rFonts w:ascii="Arial" w:hAnsi="Arial" w:cs="Arial"/>
              </w:rPr>
              <w:t>6</w:t>
            </w:r>
            <w:r w:rsidR="007070A1" w:rsidRPr="007070A1">
              <w:rPr>
                <w:rFonts w:ascii="Arial" w:hAnsi="Arial" w:cs="Arial"/>
              </w:rPr>
              <w:t>7</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proofErr w:type="gramStart"/>
            <w:r w:rsidRPr="007070A1">
              <w:rPr>
                <w:rFonts w:ascii="Arial" w:hAnsi="Arial" w:cs="Arial"/>
              </w:rPr>
              <w:t>Kertynyt poistoero</w:t>
            </w:r>
            <w:proofErr w:type="gramEnd"/>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53</w:t>
            </w:r>
          </w:p>
        </w:tc>
        <w:tc>
          <w:tcPr>
            <w:tcW w:w="960" w:type="dxa"/>
            <w:shd w:val="clear" w:color="auto" w:fill="auto"/>
            <w:noWrap/>
          </w:tcPr>
          <w:p w:rsidR="007070A1" w:rsidRPr="007070A1" w:rsidRDefault="000D4742" w:rsidP="007070A1">
            <w:pPr>
              <w:jc w:val="right"/>
              <w:rPr>
                <w:rFonts w:ascii="Arial" w:hAnsi="Arial" w:cs="Arial"/>
              </w:rPr>
            </w:pPr>
            <w:r>
              <w:rPr>
                <w:rFonts w:ascii="Arial" w:hAnsi="Arial" w:cs="Arial"/>
              </w:rPr>
              <w:t>3</w:t>
            </w:r>
            <w:r w:rsidR="007070A1" w:rsidRPr="007070A1">
              <w:rPr>
                <w:rFonts w:ascii="Arial" w:hAnsi="Arial" w:cs="Arial"/>
              </w:rPr>
              <w:t>3</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Takuuvaraukset</w:t>
            </w:r>
          </w:p>
        </w:tc>
        <w:tc>
          <w:tcPr>
            <w:tcW w:w="960" w:type="dxa"/>
            <w:shd w:val="clear" w:color="auto" w:fill="auto"/>
            <w:noWrap/>
          </w:tcPr>
          <w:p w:rsidR="007070A1" w:rsidRPr="007070A1" w:rsidRDefault="000D4742" w:rsidP="007070A1">
            <w:pPr>
              <w:jc w:val="right"/>
              <w:rPr>
                <w:rFonts w:ascii="Arial" w:hAnsi="Arial" w:cs="Arial"/>
              </w:rPr>
            </w:pPr>
            <w:r>
              <w:rPr>
                <w:rFonts w:ascii="Arial" w:hAnsi="Arial" w:cs="Arial"/>
              </w:rPr>
              <w:t>10</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0</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Pitkäaikaiset pankkilainat</w:t>
            </w:r>
          </w:p>
        </w:tc>
        <w:tc>
          <w:tcPr>
            <w:tcW w:w="960" w:type="dxa"/>
            <w:shd w:val="clear" w:color="auto" w:fill="auto"/>
            <w:noWrap/>
          </w:tcPr>
          <w:p w:rsidR="007070A1" w:rsidRPr="007070A1" w:rsidRDefault="007070A1" w:rsidP="008321C4">
            <w:pPr>
              <w:jc w:val="right"/>
              <w:rPr>
                <w:rFonts w:ascii="Arial" w:hAnsi="Arial" w:cs="Arial"/>
              </w:rPr>
            </w:pPr>
            <w:r w:rsidRPr="007070A1">
              <w:rPr>
                <w:rFonts w:ascii="Arial" w:hAnsi="Arial" w:cs="Arial"/>
              </w:rPr>
              <w:t>1</w:t>
            </w:r>
            <w:r w:rsidR="008321C4">
              <w:rPr>
                <w:rFonts w:ascii="Arial" w:hAnsi="Arial" w:cs="Arial"/>
              </w:rPr>
              <w:t>61</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202</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Lyhytaikaiset pankkilainat</w:t>
            </w:r>
          </w:p>
        </w:tc>
        <w:tc>
          <w:tcPr>
            <w:tcW w:w="960" w:type="dxa"/>
            <w:shd w:val="clear" w:color="auto" w:fill="auto"/>
            <w:noWrap/>
          </w:tcPr>
          <w:p w:rsidR="007070A1" w:rsidRPr="007070A1" w:rsidRDefault="00566569" w:rsidP="00566569">
            <w:pPr>
              <w:jc w:val="right"/>
              <w:rPr>
                <w:rFonts w:ascii="Arial" w:hAnsi="Arial" w:cs="Arial"/>
              </w:rPr>
            </w:pPr>
            <w:r>
              <w:rPr>
                <w:rFonts w:ascii="Arial" w:hAnsi="Arial" w:cs="Arial"/>
              </w:rPr>
              <w:t>12</w:t>
            </w:r>
            <w:r w:rsidR="000D4742">
              <w:rPr>
                <w:rFonts w:ascii="Arial" w:hAnsi="Arial" w:cs="Arial"/>
              </w:rPr>
              <w:t>4</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110</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Ostovelat</w:t>
            </w:r>
          </w:p>
        </w:tc>
        <w:tc>
          <w:tcPr>
            <w:tcW w:w="960" w:type="dxa"/>
            <w:shd w:val="clear" w:color="auto" w:fill="auto"/>
            <w:noWrap/>
          </w:tcPr>
          <w:p w:rsidR="007070A1" w:rsidRPr="007070A1" w:rsidRDefault="000D4742" w:rsidP="007070A1">
            <w:pPr>
              <w:jc w:val="right"/>
              <w:rPr>
                <w:rFonts w:ascii="Arial" w:hAnsi="Arial" w:cs="Arial"/>
              </w:rPr>
            </w:pPr>
            <w:r>
              <w:rPr>
                <w:rFonts w:ascii="Arial" w:hAnsi="Arial" w:cs="Arial"/>
              </w:rPr>
              <w:t>41</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47</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Siirtovelat</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38</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31</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Yhteensä</w:t>
            </w:r>
          </w:p>
        </w:tc>
        <w:tc>
          <w:tcPr>
            <w:tcW w:w="960" w:type="dxa"/>
            <w:shd w:val="clear" w:color="auto" w:fill="auto"/>
            <w:noWrap/>
          </w:tcPr>
          <w:p w:rsidR="007070A1" w:rsidRPr="007070A1" w:rsidRDefault="000D4742" w:rsidP="007070A1">
            <w:pPr>
              <w:jc w:val="right"/>
              <w:rPr>
                <w:rFonts w:ascii="Arial" w:hAnsi="Arial" w:cs="Arial"/>
              </w:rPr>
            </w:pPr>
            <w:r>
              <w:rPr>
                <w:rFonts w:ascii="Arial" w:hAnsi="Arial" w:cs="Arial"/>
              </w:rPr>
              <w:t>643</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617</w:t>
            </w:r>
          </w:p>
        </w:tc>
      </w:tr>
    </w:tbl>
    <w:p w:rsidR="007070A1" w:rsidRPr="007070A1" w:rsidRDefault="007070A1" w:rsidP="007070A1">
      <w:pPr>
        <w:rPr>
          <w:sz w:val="24"/>
          <w:szCs w:val="24"/>
        </w:rPr>
      </w:pPr>
    </w:p>
    <w:p w:rsidR="007070A1" w:rsidRPr="00743927" w:rsidRDefault="007070A1" w:rsidP="00842E06">
      <w:pPr>
        <w:rPr>
          <w:sz w:val="24"/>
          <w:szCs w:val="24"/>
        </w:rPr>
      </w:pPr>
    </w:p>
    <w:sectPr w:rsidR="007070A1" w:rsidRPr="0074392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543F"/>
    <w:multiLevelType w:val="hybridMultilevel"/>
    <w:tmpl w:val="0CA8060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639212D3"/>
    <w:multiLevelType w:val="hybridMultilevel"/>
    <w:tmpl w:val="C5EEB26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74CB5734"/>
    <w:multiLevelType w:val="hybridMultilevel"/>
    <w:tmpl w:val="5F0478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27"/>
    <w:rsid w:val="0001381C"/>
    <w:rsid w:val="00077A10"/>
    <w:rsid w:val="0009623A"/>
    <w:rsid w:val="000A47A1"/>
    <w:rsid w:val="000D4742"/>
    <w:rsid w:val="000E6B84"/>
    <w:rsid w:val="00143AE2"/>
    <w:rsid w:val="001871B8"/>
    <w:rsid w:val="0019321E"/>
    <w:rsid w:val="00235389"/>
    <w:rsid w:val="00251A77"/>
    <w:rsid w:val="002A0E41"/>
    <w:rsid w:val="002C205D"/>
    <w:rsid w:val="002C2379"/>
    <w:rsid w:val="00324F82"/>
    <w:rsid w:val="003A3902"/>
    <w:rsid w:val="003A563C"/>
    <w:rsid w:val="003B7146"/>
    <w:rsid w:val="003E537C"/>
    <w:rsid w:val="00421CA9"/>
    <w:rsid w:val="004671D8"/>
    <w:rsid w:val="00495A69"/>
    <w:rsid w:val="004C35A3"/>
    <w:rsid w:val="004E387C"/>
    <w:rsid w:val="004F20E2"/>
    <w:rsid w:val="00566569"/>
    <w:rsid w:val="00591441"/>
    <w:rsid w:val="005A789F"/>
    <w:rsid w:val="005C0BC5"/>
    <w:rsid w:val="00630F62"/>
    <w:rsid w:val="00655101"/>
    <w:rsid w:val="00666203"/>
    <w:rsid w:val="006B5388"/>
    <w:rsid w:val="006C71D9"/>
    <w:rsid w:val="007070A1"/>
    <w:rsid w:val="00743927"/>
    <w:rsid w:val="00747B52"/>
    <w:rsid w:val="007960A4"/>
    <w:rsid w:val="007B3457"/>
    <w:rsid w:val="007D3F12"/>
    <w:rsid w:val="007E1FB9"/>
    <w:rsid w:val="007E346A"/>
    <w:rsid w:val="007F45CF"/>
    <w:rsid w:val="00811DDC"/>
    <w:rsid w:val="008321C4"/>
    <w:rsid w:val="00835B41"/>
    <w:rsid w:val="00842E06"/>
    <w:rsid w:val="008517B7"/>
    <w:rsid w:val="0089112D"/>
    <w:rsid w:val="0090217F"/>
    <w:rsid w:val="009149FF"/>
    <w:rsid w:val="009629B6"/>
    <w:rsid w:val="00967BCA"/>
    <w:rsid w:val="009911F3"/>
    <w:rsid w:val="009A3EEB"/>
    <w:rsid w:val="009F7FCB"/>
    <w:rsid w:val="00A212D5"/>
    <w:rsid w:val="00AC3D24"/>
    <w:rsid w:val="00B9681F"/>
    <w:rsid w:val="00BC0203"/>
    <w:rsid w:val="00BE61FC"/>
    <w:rsid w:val="00BF004D"/>
    <w:rsid w:val="00BF31B0"/>
    <w:rsid w:val="00C22513"/>
    <w:rsid w:val="00CA0D69"/>
    <w:rsid w:val="00CA1BBA"/>
    <w:rsid w:val="00CA4654"/>
    <w:rsid w:val="00CD0888"/>
    <w:rsid w:val="00CD4028"/>
    <w:rsid w:val="00CE26D7"/>
    <w:rsid w:val="00D30B29"/>
    <w:rsid w:val="00DD6DFF"/>
    <w:rsid w:val="00DF08FE"/>
    <w:rsid w:val="00DF2D48"/>
    <w:rsid w:val="00EE0FAE"/>
    <w:rsid w:val="00EF0237"/>
    <w:rsid w:val="00EF67E8"/>
    <w:rsid w:val="00F53997"/>
    <w:rsid w:val="00F57532"/>
    <w:rsid w:val="00F630C8"/>
    <w:rsid w:val="00F71CF8"/>
    <w:rsid w:val="00F93C2A"/>
    <w:rsid w:val="00FA0CEC"/>
    <w:rsid w:val="00FB7B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43927"/>
    <w:pPr>
      <w:spacing w:after="0" w:line="240" w:lineRule="auto"/>
    </w:pPr>
    <w:rPr>
      <w:rFonts w:ascii="Times New Roman" w:eastAsia="Times New Roman" w:hAnsi="Times New Roman" w:cs="Times New Roman"/>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743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
    <w:name w:val="Body Text Indent"/>
    <w:basedOn w:val="Normaali"/>
    <w:link w:val="SisennettyleiptekstiChar"/>
    <w:semiHidden/>
    <w:rsid w:val="007D3F12"/>
    <w:pPr>
      <w:tabs>
        <w:tab w:val="left" w:pos="2268"/>
      </w:tabs>
      <w:autoSpaceDE w:val="0"/>
      <w:autoSpaceDN w:val="0"/>
      <w:ind w:left="2258" w:hanging="960"/>
    </w:pPr>
    <w:rPr>
      <w:rFonts w:ascii="Times" w:hAnsi="Times" w:cs="Times"/>
      <w:sz w:val="24"/>
      <w:szCs w:val="24"/>
    </w:rPr>
  </w:style>
  <w:style w:type="character" w:customStyle="1" w:styleId="SisennettyleiptekstiChar">
    <w:name w:val="Sisennetty leipäteksti Char"/>
    <w:basedOn w:val="Kappaleenoletusfontti"/>
    <w:link w:val="Sisennettyleipteksti"/>
    <w:semiHidden/>
    <w:rsid w:val="007D3F12"/>
    <w:rPr>
      <w:rFonts w:ascii="Times" w:eastAsia="Times New Roman" w:hAnsi="Times" w:cs="Times"/>
      <w:sz w:val="24"/>
      <w:szCs w:val="24"/>
      <w:lang w:eastAsia="fi-FI"/>
    </w:rPr>
  </w:style>
  <w:style w:type="paragraph" w:styleId="Luettelokappale">
    <w:name w:val="List Paragraph"/>
    <w:basedOn w:val="Normaali"/>
    <w:uiPriority w:val="34"/>
    <w:qFormat/>
    <w:rsid w:val="00655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43927"/>
    <w:pPr>
      <w:spacing w:after="0" w:line="240" w:lineRule="auto"/>
    </w:pPr>
    <w:rPr>
      <w:rFonts w:ascii="Times New Roman" w:eastAsia="Times New Roman" w:hAnsi="Times New Roman" w:cs="Times New Roman"/>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743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
    <w:name w:val="Body Text Indent"/>
    <w:basedOn w:val="Normaali"/>
    <w:link w:val="SisennettyleiptekstiChar"/>
    <w:semiHidden/>
    <w:rsid w:val="007D3F12"/>
    <w:pPr>
      <w:tabs>
        <w:tab w:val="left" w:pos="2268"/>
      </w:tabs>
      <w:autoSpaceDE w:val="0"/>
      <w:autoSpaceDN w:val="0"/>
      <w:ind w:left="2258" w:hanging="960"/>
    </w:pPr>
    <w:rPr>
      <w:rFonts w:ascii="Times" w:hAnsi="Times" w:cs="Times"/>
      <w:sz w:val="24"/>
      <w:szCs w:val="24"/>
    </w:rPr>
  </w:style>
  <w:style w:type="character" w:customStyle="1" w:styleId="SisennettyleiptekstiChar">
    <w:name w:val="Sisennetty leipäteksti Char"/>
    <w:basedOn w:val="Kappaleenoletusfontti"/>
    <w:link w:val="Sisennettyleipteksti"/>
    <w:semiHidden/>
    <w:rsid w:val="007D3F12"/>
    <w:rPr>
      <w:rFonts w:ascii="Times" w:eastAsia="Times New Roman" w:hAnsi="Times" w:cs="Times"/>
      <w:sz w:val="24"/>
      <w:szCs w:val="24"/>
      <w:lang w:eastAsia="fi-FI"/>
    </w:rPr>
  </w:style>
  <w:style w:type="paragraph" w:styleId="Luettelokappale">
    <w:name w:val="List Paragraph"/>
    <w:basedOn w:val="Normaali"/>
    <w:uiPriority w:val="34"/>
    <w:qFormat/>
    <w:rsid w:val="00655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10123</Characters>
  <Application>Microsoft Office Word</Application>
  <DocSecurity>0</DocSecurity>
  <Lines>84</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 Viljaranta</dc:creator>
  <cp:lastModifiedBy>Juha Viljaranta</cp:lastModifiedBy>
  <cp:revision>2</cp:revision>
  <dcterms:created xsi:type="dcterms:W3CDTF">2021-08-24T10:59:00Z</dcterms:created>
  <dcterms:modified xsi:type="dcterms:W3CDTF">2021-08-24T10:59:00Z</dcterms:modified>
</cp:coreProperties>
</file>