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27" w:rsidRDefault="00743927" w:rsidP="00743927">
      <w:pPr>
        <w:rPr>
          <w:sz w:val="24"/>
        </w:rPr>
      </w:pPr>
      <w:r>
        <w:rPr>
          <w:sz w:val="24"/>
        </w:rPr>
        <w:t>Aalto-yliopiston kauppakorkeakoulu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Tentti </w:t>
      </w:r>
      <w:r w:rsidR="00D2252F">
        <w:rPr>
          <w:b/>
          <w:sz w:val="24"/>
        </w:rPr>
        <w:t>18.11.2021</w:t>
      </w:r>
    </w:p>
    <w:p w:rsidR="00743927" w:rsidRPr="001B79B1" w:rsidRDefault="00EF0237" w:rsidP="00743927">
      <w:pPr>
        <w:rPr>
          <w:sz w:val="24"/>
        </w:rPr>
      </w:pPr>
      <w:r>
        <w:rPr>
          <w:sz w:val="24"/>
        </w:rPr>
        <w:t>Kirjanpito (A22C0010</w:t>
      </w:r>
      <w:r w:rsidR="00743927" w:rsidRPr="001B79B1">
        <w:rPr>
          <w:sz w:val="24"/>
        </w:rPr>
        <w:t>0)</w:t>
      </w:r>
      <w:r w:rsidR="001E4A94">
        <w:rPr>
          <w:sz w:val="24"/>
        </w:rPr>
        <w:tab/>
      </w:r>
      <w:r w:rsidR="001E4A94">
        <w:rPr>
          <w:sz w:val="24"/>
        </w:rPr>
        <w:tab/>
      </w:r>
      <w:r w:rsidR="001E4A94">
        <w:rPr>
          <w:sz w:val="24"/>
        </w:rPr>
        <w:tab/>
      </w:r>
      <w:r w:rsidR="001E4A94">
        <w:rPr>
          <w:sz w:val="24"/>
        </w:rPr>
        <w:tab/>
      </w:r>
      <w:r w:rsidR="0086728B">
        <w:rPr>
          <w:sz w:val="24"/>
        </w:rPr>
        <w:t>kello 17:00</w:t>
      </w:r>
      <w:r w:rsidR="00BE1496">
        <w:rPr>
          <w:sz w:val="24"/>
        </w:rPr>
        <w:t xml:space="preserve"> – 19:0</w:t>
      </w:r>
      <w:r w:rsidR="001E4A94">
        <w:rPr>
          <w:sz w:val="24"/>
        </w:rPr>
        <w:t>0</w:t>
      </w:r>
    </w:p>
    <w:p w:rsidR="00743927" w:rsidRDefault="00743927" w:rsidP="00743927">
      <w:pPr>
        <w:rPr>
          <w:sz w:val="24"/>
        </w:rPr>
      </w:pPr>
      <w:r>
        <w:rPr>
          <w:sz w:val="24"/>
        </w:rPr>
        <w:t xml:space="preserve">Avoin yliopisto, </w:t>
      </w:r>
      <w:r w:rsidR="00D2252F">
        <w:rPr>
          <w:sz w:val="24"/>
        </w:rPr>
        <w:t>kesä 2021</w:t>
      </w:r>
      <w:bookmarkStart w:id="0" w:name="_GoBack"/>
      <w:bookmarkEnd w:id="0"/>
    </w:p>
    <w:p w:rsidR="00743927" w:rsidRDefault="00743927" w:rsidP="00743927">
      <w:pPr>
        <w:rPr>
          <w:sz w:val="24"/>
        </w:rPr>
      </w:pPr>
      <w:r>
        <w:rPr>
          <w:sz w:val="24"/>
        </w:rPr>
        <w:t>Juha Viljaranta</w:t>
      </w:r>
      <w:r w:rsidR="009629B6">
        <w:rPr>
          <w:sz w:val="24"/>
        </w:rPr>
        <w:tab/>
      </w:r>
      <w:r w:rsidR="009629B6">
        <w:rPr>
          <w:sz w:val="24"/>
        </w:rPr>
        <w:tab/>
      </w:r>
      <w:r w:rsidR="009629B6">
        <w:rPr>
          <w:sz w:val="24"/>
        </w:rPr>
        <w:tab/>
      </w:r>
      <w:r w:rsidR="009629B6">
        <w:rPr>
          <w:sz w:val="24"/>
        </w:rPr>
        <w:tab/>
        <w:t>_____________________</w:t>
      </w:r>
    </w:p>
    <w:p w:rsidR="00743927" w:rsidRDefault="00EF0237" w:rsidP="007439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opiskelija</w:t>
      </w:r>
    </w:p>
    <w:p w:rsidR="00743927" w:rsidRDefault="00743927" w:rsidP="00743927">
      <w:pPr>
        <w:rPr>
          <w:sz w:val="24"/>
        </w:rPr>
      </w:pPr>
    </w:p>
    <w:p w:rsidR="00743927" w:rsidRDefault="003B271C" w:rsidP="00743927">
      <w:pPr>
        <w:rPr>
          <w:sz w:val="24"/>
        </w:rPr>
      </w:pPr>
      <w:r>
        <w:rPr>
          <w:sz w:val="24"/>
        </w:rPr>
        <w:t>Vastaa seuraaviin väittämiin merkitsemällä oheiseen vastaustaulukkoon rasti kohtaan ”oikein” tai ”väärin”. Oikeasta vastauksesta saa +2 pistettä, väärästä vastauksesta -1 pistettä ja vastaamatta jättämisestä nolla pistettä. Tentin maksimipistemäärä on 100. Tentissä saa käyttää apuna haluamaansa materiaalia. Neuvon kysyminen muulta henkilöltä tenttiä suoritettaessa ei ole kuitenkaan sallittua.</w:t>
      </w:r>
      <w:r w:rsidR="00AA45FE">
        <w:rPr>
          <w:sz w:val="24"/>
        </w:rPr>
        <w:t xml:space="preserve"> Vastaustiedosto pitää palauttaa muodossa PDF tai MS-Word.</w:t>
      </w:r>
    </w:p>
    <w:p w:rsidR="00743927" w:rsidRDefault="00743927" w:rsidP="00743927">
      <w:pPr>
        <w:rPr>
          <w:sz w:val="24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39"/>
        <w:gridCol w:w="701"/>
        <w:gridCol w:w="701"/>
        <w:gridCol w:w="700"/>
        <w:gridCol w:w="701"/>
        <w:gridCol w:w="701"/>
        <w:gridCol w:w="700"/>
        <w:gridCol w:w="701"/>
        <w:gridCol w:w="701"/>
        <w:gridCol w:w="701"/>
      </w:tblGrid>
      <w:tr w:rsidR="009629B6" w:rsidTr="009629B6">
        <w:tc>
          <w:tcPr>
            <w:tcW w:w="1242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639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629B6" w:rsidTr="009629B6">
        <w:tc>
          <w:tcPr>
            <w:tcW w:w="1242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Oikein</w:t>
            </w:r>
          </w:p>
        </w:tc>
        <w:tc>
          <w:tcPr>
            <w:tcW w:w="639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</w:tr>
      <w:tr w:rsidR="009629B6" w:rsidTr="009629B6">
        <w:tc>
          <w:tcPr>
            <w:tcW w:w="1242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Väärin</w:t>
            </w:r>
          </w:p>
        </w:tc>
        <w:tc>
          <w:tcPr>
            <w:tcW w:w="639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</w:tr>
    </w:tbl>
    <w:p w:rsidR="00743927" w:rsidRDefault="00743927" w:rsidP="00743927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691"/>
        <w:gridCol w:w="692"/>
        <w:gridCol w:w="692"/>
        <w:gridCol w:w="691"/>
        <w:gridCol w:w="692"/>
        <w:gridCol w:w="692"/>
        <w:gridCol w:w="691"/>
        <w:gridCol w:w="692"/>
        <w:gridCol w:w="692"/>
        <w:gridCol w:w="692"/>
      </w:tblGrid>
      <w:tr w:rsidR="009629B6" w:rsidTr="009629B6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629B6" w:rsidTr="009629B6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Oikein</w:t>
            </w:r>
          </w:p>
        </w:tc>
        <w:tc>
          <w:tcPr>
            <w:tcW w:w="69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</w:tr>
      <w:tr w:rsidR="009629B6" w:rsidTr="009629B6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Väärin</w:t>
            </w:r>
          </w:p>
        </w:tc>
        <w:tc>
          <w:tcPr>
            <w:tcW w:w="69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</w:tr>
    </w:tbl>
    <w:p w:rsidR="009629B6" w:rsidRDefault="009629B6" w:rsidP="00743927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691"/>
        <w:gridCol w:w="692"/>
        <w:gridCol w:w="692"/>
        <w:gridCol w:w="691"/>
        <w:gridCol w:w="692"/>
        <w:gridCol w:w="692"/>
        <w:gridCol w:w="691"/>
        <w:gridCol w:w="692"/>
        <w:gridCol w:w="692"/>
        <w:gridCol w:w="692"/>
      </w:tblGrid>
      <w:tr w:rsidR="009629B6" w:rsidTr="002412AA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629B6" w:rsidTr="002412AA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Oikein</w:t>
            </w:r>
          </w:p>
        </w:tc>
        <w:tc>
          <w:tcPr>
            <w:tcW w:w="69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</w:tr>
      <w:tr w:rsidR="009629B6" w:rsidTr="002412AA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Väärin</w:t>
            </w:r>
          </w:p>
        </w:tc>
        <w:tc>
          <w:tcPr>
            <w:tcW w:w="69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</w:tr>
    </w:tbl>
    <w:p w:rsidR="00743927" w:rsidRDefault="00743927" w:rsidP="00743927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691"/>
        <w:gridCol w:w="692"/>
        <w:gridCol w:w="692"/>
        <w:gridCol w:w="691"/>
        <w:gridCol w:w="692"/>
        <w:gridCol w:w="692"/>
        <w:gridCol w:w="691"/>
        <w:gridCol w:w="692"/>
        <w:gridCol w:w="692"/>
        <w:gridCol w:w="692"/>
      </w:tblGrid>
      <w:tr w:rsidR="009629B6" w:rsidTr="002412AA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2" w:type="dxa"/>
          </w:tcPr>
          <w:p w:rsidR="009629B6" w:rsidRDefault="00CD0888" w:rsidP="009629B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29B6" w:rsidTr="002412AA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Oikein</w:t>
            </w:r>
          </w:p>
        </w:tc>
        <w:tc>
          <w:tcPr>
            <w:tcW w:w="69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</w:tr>
      <w:tr w:rsidR="009629B6" w:rsidTr="002412AA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Väärin</w:t>
            </w:r>
          </w:p>
        </w:tc>
        <w:tc>
          <w:tcPr>
            <w:tcW w:w="69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4F20E2">
            <w:pPr>
              <w:jc w:val="center"/>
              <w:rPr>
                <w:sz w:val="24"/>
              </w:rPr>
            </w:pPr>
          </w:p>
        </w:tc>
      </w:tr>
    </w:tbl>
    <w:p w:rsidR="009629B6" w:rsidRDefault="009629B6" w:rsidP="00743927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691"/>
        <w:gridCol w:w="692"/>
        <w:gridCol w:w="692"/>
        <w:gridCol w:w="691"/>
        <w:gridCol w:w="692"/>
        <w:gridCol w:w="692"/>
        <w:gridCol w:w="691"/>
        <w:gridCol w:w="692"/>
        <w:gridCol w:w="692"/>
        <w:gridCol w:w="692"/>
      </w:tblGrid>
      <w:tr w:rsidR="00CD0888" w:rsidTr="00DD6005">
        <w:tc>
          <w:tcPr>
            <w:tcW w:w="1271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1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91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D0888" w:rsidTr="00DD6005">
        <w:tc>
          <w:tcPr>
            <w:tcW w:w="1271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Oikein</w:t>
            </w:r>
          </w:p>
        </w:tc>
        <w:tc>
          <w:tcPr>
            <w:tcW w:w="691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</w:tr>
      <w:tr w:rsidR="00CD0888" w:rsidTr="00DD6005">
        <w:tc>
          <w:tcPr>
            <w:tcW w:w="1271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Väärin</w:t>
            </w:r>
          </w:p>
        </w:tc>
        <w:tc>
          <w:tcPr>
            <w:tcW w:w="691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4F20E2">
            <w:pPr>
              <w:jc w:val="center"/>
              <w:rPr>
                <w:sz w:val="24"/>
              </w:rPr>
            </w:pPr>
          </w:p>
        </w:tc>
      </w:tr>
    </w:tbl>
    <w:p w:rsidR="00CD0888" w:rsidRDefault="00CD0888" w:rsidP="00743927">
      <w:pPr>
        <w:rPr>
          <w:sz w:val="24"/>
          <w:szCs w:val="24"/>
        </w:rPr>
      </w:pPr>
    </w:p>
    <w:p w:rsidR="00CD0888" w:rsidRDefault="00CD0888" w:rsidP="00743927">
      <w:pPr>
        <w:rPr>
          <w:sz w:val="24"/>
          <w:szCs w:val="24"/>
        </w:rPr>
      </w:pPr>
    </w:p>
    <w:p w:rsidR="00CD0888" w:rsidRDefault="00CD0888" w:rsidP="00743927">
      <w:pPr>
        <w:rPr>
          <w:sz w:val="24"/>
          <w:szCs w:val="24"/>
        </w:rPr>
      </w:pPr>
      <w:r>
        <w:rPr>
          <w:sz w:val="24"/>
          <w:szCs w:val="24"/>
        </w:rPr>
        <w:t>VÄITTEET</w:t>
      </w:r>
    </w:p>
    <w:p w:rsidR="00F93C2A" w:rsidRDefault="00F93C2A" w:rsidP="00743927">
      <w:pPr>
        <w:rPr>
          <w:sz w:val="24"/>
          <w:szCs w:val="24"/>
        </w:rPr>
      </w:pPr>
      <w:r>
        <w:rPr>
          <w:sz w:val="24"/>
          <w:szCs w:val="24"/>
        </w:rPr>
        <w:t>Väitteissä oletetaan, että yritys tekee kirjanpitonsa suoriteperusteella ja tilikausi on kalenterivuosi, ellei ole nimenomaisesti sanottu toisin. Arvonlisäverot otetaan huomioon vain, jos ne on tehtävässä mainittu. Arvonlisäverot kirjataan nettoperiaatteella.</w:t>
      </w:r>
    </w:p>
    <w:p w:rsidR="00655101" w:rsidRDefault="00655101" w:rsidP="007D3F12">
      <w:pPr>
        <w:rPr>
          <w:sz w:val="24"/>
          <w:szCs w:val="24"/>
        </w:rPr>
      </w:pPr>
    </w:p>
    <w:p w:rsidR="00DF2D48" w:rsidRDefault="0018320A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Jos yrityksen tuotantokoneeseen liittyvät tulonodotukset kasvavat, voidaan koneen tasearvoa korottaa.</w:t>
      </w:r>
    </w:p>
    <w:p w:rsidR="00DF2D48" w:rsidRDefault="00B52BE7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Suomalainen </w:t>
      </w:r>
      <w:r w:rsidR="0018320A">
        <w:rPr>
          <w:sz w:val="24"/>
          <w:szCs w:val="24"/>
        </w:rPr>
        <w:t xml:space="preserve">keskisuuri yritys voi laatia </w:t>
      </w:r>
      <w:r>
        <w:rPr>
          <w:sz w:val="24"/>
          <w:szCs w:val="24"/>
        </w:rPr>
        <w:t>tilinpäätöksensä jo</w:t>
      </w:r>
      <w:r w:rsidR="00842492">
        <w:rPr>
          <w:sz w:val="24"/>
          <w:szCs w:val="24"/>
        </w:rPr>
        <w:t>ko</w:t>
      </w:r>
      <w:r>
        <w:rPr>
          <w:sz w:val="24"/>
          <w:szCs w:val="24"/>
        </w:rPr>
        <w:t xml:space="preserve"> Suomen kirjanpitolain tai IFRS:n mukaan.</w:t>
      </w:r>
    </w:p>
    <w:p w:rsidR="00DF2D48" w:rsidRDefault="0018320A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Jos yrityksen tilinpäätöksessään tekemät poistot ovat suuremmat kuin EVL:n maksimipoistot, jäävät ylimääräiset poistot kokonaan hyödyntämättä tuloverotuksessa.</w:t>
      </w:r>
    </w:p>
    <w:p w:rsidR="00DF2D48" w:rsidRDefault="00B52BE7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Jos yrityksen liikevaihto on </w:t>
      </w:r>
      <w:r w:rsidR="0018320A">
        <w:rPr>
          <w:sz w:val="24"/>
          <w:szCs w:val="24"/>
        </w:rPr>
        <w:t>30</w:t>
      </w:r>
      <w:r>
        <w:rPr>
          <w:sz w:val="24"/>
          <w:szCs w:val="24"/>
        </w:rPr>
        <w:t xml:space="preserve"> miljoonaa euroa ja henkilömäärä </w:t>
      </w:r>
      <w:r w:rsidR="0018320A">
        <w:rPr>
          <w:sz w:val="24"/>
          <w:szCs w:val="24"/>
        </w:rPr>
        <w:t>15</w:t>
      </w:r>
      <w:r>
        <w:rPr>
          <w:sz w:val="24"/>
          <w:szCs w:val="24"/>
        </w:rPr>
        <w:t xml:space="preserve">0, on kyseessä </w:t>
      </w:r>
      <w:r w:rsidR="0018320A">
        <w:rPr>
          <w:sz w:val="24"/>
          <w:szCs w:val="24"/>
        </w:rPr>
        <w:t>suur</w:t>
      </w:r>
      <w:r>
        <w:rPr>
          <w:sz w:val="24"/>
          <w:szCs w:val="24"/>
        </w:rPr>
        <w:t>yritys.</w:t>
      </w:r>
    </w:p>
    <w:p w:rsidR="00DF2D48" w:rsidRDefault="0018320A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Mikro</w:t>
      </w:r>
      <w:r w:rsidR="00842492">
        <w:rPr>
          <w:sz w:val="24"/>
          <w:szCs w:val="24"/>
        </w:rPr>
        <w:t>yrityksenä käsiteltävän osakeyhtiön ei tarvitse esittää tilinpäätöksensä osana tasetta; pelkkä lähinnä tuloverotusta varten laadittava tuloslaskelma riittää.</w:t>
      </w:r>
    </w:p>
    <w:p w:rsidR="00DF2D48" w:rsidRDefault="0018320A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Osakeyhtiö, joka on mikroyritys, voi</w:t>
      </w:r>
      <w:r w:rsidR="00842492">
        <w:rPr>
          <w:sz w:val="24"/>
          <w:szCs w:val="24"/>
        </w:rPr>
        <w:t xml:space="preserve"> tehdä halutessaan tilinpäätöksensä maksuperusteella.</w:t>
      </w:r>
    </w:p>
    <w:p w:rsidR="00CA0D69" w:rsidRDefault="00CA0D69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Tase-erittely</w:t>
      </w:r>
      <w:r w:rsidR="0018320A">
        <w:rPr>
          <w:sz w:val="24"/>
          <w:szCs w:val="24"/>
        </w:rPr>
        <w:t>issä kerrotaan mm. miten liikevoitto jakautui toimintayksiköittäin</w:t>
      </w:r>
      <w:r w:rsidR="00842492">
        <w:rPr>
          <w:sz w:val="24"/>
          <w:szCs w:val="24"/>
        </w:rPr>
        <w:t>.</w:t>
      </w:r>
    </w:p>
    <w:p w:rsidR="00CA0D69" w:rsidRDefault="00A90941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Kirjanpidon ensimmäisen viennin tulee olla tilinavausvienti, jonka vuoksi alkuvuoden kirjanpito viivästyy usein kuukauden verran.</w:t>
      </w:r>
    </w:p>
    <w:p w:rsidR="00CA0D69" w:rsidRDefault="00A90941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Yritys hankki aineita 300kg a’10</w:t>
      </w:r>
      <w:r w:rsidR="00E27C36">
        <w:rPr>
          <w:sz w:val="24"/>
          <w:szCs w:val="24"/>
        </w:rPr>
        <w:t>,</w:t>
      </w:r>
      <w:r w:rsidR="0076546F">
        <w:rPr>
          <w:sz w:val="24"/>
          <w:szCs w:val="24"/>
        </w:rPr>
        <w:t>1</w:t>
      </w:r>
      <w:r>
        <w:rPr>
          <w:sz w:val="24"/>
          <w:szCs w:val="24"/>
        </w:rPr>
        <w:t>€, 400kg a’1</w:t>
      </w:r>
      <w:r w:rsidR="00E27C36">
        <w:rPr>
          <w:sz w:val="24"/>
          <w:szCs w:val="24"/>
        </w:rPr>
        <w:t>0,</w:t>
      </w:r>
      <w:r w:rsidR="0076546F">
        <w:rPr>
          <w:sz w:val="24"/>
          <w:szCs w:val="24"/>
        </w:rPr>
        <w:t>7</w:t>
      </w:r>
      <w:r>
        <w:rPr>
          <w:sz w:val="24"/>
          <w:szCs w:val="24"/>
        </w:rPr>
        <w:t>€ ja 600kg a’1</w:t>
      </w:r>
      <w:r w:rsidR="0076546F">
        <w:rPr>
          <w:sz w:val="24"/>
          <w:szCs w:val="24"/>
        </w:rPr>
        <w:t>1,3</w:t>
      </w:r>
      <w:r>
        <w:rPr>
          <w:sz w:val="24"/>
          <w:szCs w:val="24"/>
        </w:rPr>
        <w:t xml:space="preserve">€. Väite: </w:t>
      </w:r>
      <w:r w:rsidR="00E27C36">
        <w:rPr>
          <w:sz w:val="24"/>
          <w:szCs w:val="24"/>
        </w:rPr>
        <w:t>Varastoarvostusta varten käytettävä a</w:t>
      </w:r>
      <w:r>
        <w:rPr>
          <w:sz w:val="24"/>
          <w:szCs w:val="24"/>
        </w:rPr>
        <w:t>ineid</w:t>
      </w:r>
      <w:r w:rsidR="0076546F">
        <w:rPr>
          <w:sz w:val="24"/>
          <w:szCs w:val="24"/>
        </w:rPr>
        <w:t>en keskihinta on tällöin 10,7</w:t>
      </w:r>
      <w:r>
        <w:rPr>
          <w:sz w:val="24"/>
          <w:szCs w:val="24"/>
        </w:rPr>
        <w:t xml:space="preserve"> €/kg.</w:t>
      </w:r>
    </w:p>
    <w:p w:rsidR="005C0BC5" w:rsidRDefault="00842492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Yrityksen </w:t>
      </w:r>
      <w:r w:rsidR="002E6F14">
        <w:rPr>
          <w:sz w:val="24"/>
          <w:szCs w:val="24"/>
        </w:rPr>
        <w:t>toimitilaosakkeiden</w:t>
      </w:r>
      <w:r>
        <w:rPr>
          <w:sz w:val="24"/>
          <w:szCs w:val="24"/>
        </w:rPr>
        <w:t xml:space="preserve"> tasearvo oli 5000 ja käypä arvo luotettavan arvion mukaan </w:t>
      </w:r>
      <w:r w:rsidR="002E6F14">
        <w:rPr>
          <w:sz w:val="24"/>
          <w:szCs w:val="24"/>
        </w:rPr>
        <w:t xml:space="preserve">pysyvästi </w:t>
      </w:r>
      <w:r>
        <w:rPr>
          <w:sz w:val="24"/>
          <w:szCs w:val="24"/>
        </w:rPr>
        <w:t xml:space="preserve">ainakin 9000. Väite: </w:t>
      </w:r>
      <w:r w:rsidR="002E6F14">
        <w:rPr>
          <w:sz w:val="24"/>
          <w:szCs w:val="24"/>
        </w:rPr>
        <w:t xml:space="preserve">Toimitilaosakkeisiin </w:t>
      </w:r>
      <w:r>
        <w:rPr>
          <w:sz w:val="24"/>
          <w:szCs w:val="24"/>
        </w:rPr>
        <w:t>voitaisiin tehdä ainakin 3000 suuruinen arvonkorotus.</w:t>
      </w:r>
    </w:p>
    <w:p w:rsidR="005C0BC5" w:rsidRDefault="005C0BC5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Yritys osti </w:t>
      </w:r>
      <w:r w:rsidR="00ED0AF9">
        <w:rPr>
          <w:sz w:val="24"/>
          <w:szCs w:val="24"/>
        </w:rPr>
        <w:t xml:space="preserve">kilpailevan yrityksen </w:t>
      </w:r>
      <w:r w:rsidR="00842492">
        <w:rPr>
          <w:sz w:val="24"/>
          <w:szCs w:val="24"/>
        </w:rPr>
        <w:t>liiketoiminnan hintaan 8</w:t>
      </w:r>
      <w:r>
        <w:rPr>
          <w:sz w:val="24"/>
          <w:szCs w:val="24"/>
        </w:rPr>
        <w:t xml:space="preserve">00 saaden vastuulleen sen varat 300 ja velat 100. </w:t>
      </w:r>
      <w:r w:rsidR="00ED0AF9">
        <w:rPr>
          <w:sz w:val="24"/>
          <w:szCs w:val="24"/>
        </w:rPr>
        <w:t xml:space="preserve">Ostettu toiminta oli jo etukäteen päätetty lopettaa </w:t>
      </w:r>
      <w:r w:rsidR="00C04549">
        <w:rPr>
          <w:sz w:val="24"/>
          <w:szCs w:val="24"/>
        </w:rPr>
        <w:t xml:space="preserve">pikaisesti </w:t>
      </w:r>
      <w:r w:rsidR="00ED0AF9">
        <w:rPr>
          <w:sz w:val="24"/>
          <w:szCs w:val="24"/>
        </w:rPr>
        <w:t xml:space="preserve">ylikapasiteetin purkamiseksi. </w:t>
      </w:r>
      <w:r>
        <w:rPr>
          <w:sz w:val="24"/>
          <w:szCs w:val="24"/>
        </w:rPr>
        <w:t xml:space="preserve">Väite: </w:t>
      </w:r>
      <w:r w:rsidR="00ED0AF9">
        <w:rPr>
          <w:sz w:val="24"/>
          <w:szCs w:val="24"/>
        </w:rPr>
        <w:t>Em. l</w:t>
      </w:r>
      <w:r>
        <w:rPr>
          <w:sz w:val="24"/>
          <w:szCs w:val="24"/>
        </w:rPr>
        <w:t xml:space="preserve">iiketoimintakaupasta </w:t>
      </w:r>
      <w:r w:rsidR="00C04549">
        <w:rPr>
          <w:sz w:val="24"/>
          <w:szCs w:val="24"/>
        </w:rPr>
        <w:t>syntyi</w:t>
      </w:r>
      <w:r w:rsidR="00ED0AF9">
        <w:rPr>
          <w:sz w:val="24"/>
          <w:szCs w:val="24"/>
        </w:rPr>
        <w:t xml:space="preserve"> liikearvo</w:t>
      </w:r>
      <w:r w:rsidR="00C04549">
        <w:rPr>
          <w:sz w:val="24"/>
          <w:szCs w:val="24"/>
        </w:rPr>
        <w:t>a 6</w:t>
      </w:r>
      <w:r w:rsidR="00ED0AF9">
        <w:rPr>
          <w:sz w:val="24"/>
          <w:szCs w:val="24"/>
        </w:rPr>
        <w:t>00</w:t>
      </w:r>
      <w:r w:rsidR="00C04549">
        <w:rPr>
          <w:sz w:val="24"/>
          <w:szCs w:val="24"/>
        </w:rPr>
        <w:t>, mutta se</w:t>
      </w:r>
      <w:r w:rsidR="00ED0AF9">
        <w:rPr>
          <w:sz w:val="24"/>
          <w:szCs w:val="24"/>
        </w:rPr>
        <w:t xml:space="preserve"> </w:t>
      </w:r>
      <w:r w:rsidR="00C04549">
        <w:rPr>
          <w:sz w:val="24"/>
          <w:szCs w:val="24"/>
        </w:rPr>
        <w:t>on kirjattava heti kuluksi eikä sitä saa aktivoida taseeseen.</w:t>
      </w:r>
    </w:p>
    <w:p w:rsidR="005C0BC5" w:rsidRDefault="00FE4DC0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Yritys oli tehnyt erään toisen liiketoimintaoston yhteydessä syntyneestä liikearvosta arvonalennusta 500. Tämän liiketoiminnan arvo oli kuitenkin palautunut melko pian. Väite: Em. liikearvon arvonalennuskirjaus pitää arvon palautumisen vuoksi peruuttaa.</w:t>
      </w:r>
    </w:p>
    <w:p w:rsidR="005C0BC5" w:rsidRDefault="00DC31CE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Keskisuuri y</w:t>
      </w:r>
      <w:r w:rsidR="00842492">
        <w:rPr>
          <w:sz w:val="24"/>
          <w:szCs w:val="24"/>
        </w:rPr>
        <w:t xml:space="preserve">ritys määritteli eräiden </w:t>
      </w:r>
      <w:r>
        <w:rPr>
          <w:sz w:val="24"/>
          <w:szCs w:val="24"/>
        </w:rPr>
        <w:t xml:space="preserve">valmistamiensa </w:t>
      </w:r>
      <w:r w:rsidR="00842492">
        <w:rPr>
          <w:sz w:val="24"/>
          <w:szCs w:val="24"/>
        </w:rPr>
        <w:t xml:space="preserve">tuotteidensa hankintamenon välittömien </w:t>
      </w:r>
      <w:r>
        <w:rPr>
          <w:sz w:val="24"/>
          <w:szCs w:val="24"/>
        </w:rPr>
        <w:t>materiaalikustannusten perusteella</w:t>
      </w:r>
      <w:r w:rsidR="00842492">
        <w:rPr>
          <w:sz w:val="24"/>
          <w:szCs w:val="24"/>
        </w:rPr>
        <w:t xml:space="preserve">. Väite: Yrityksen tapa määritellä hankintameno oli kirjanpitolain </w:t>
      </w:r>
      <w:r w:rsidR="00C039F3">
        <w:rPr>
          <w:sz w:val="24"/>
          <w:szCs w:val="24"/>
        </w:rPr>
        <w:t>mukainen</w:t>
      </w:r>
      <w:r w:rsidR="00842492">
        <w:rPr>
          <w:sz w:val="24"/>
          <w:szCs w:val="24"/>
        </w:rPr>
        <w:t>.</w:t>
      </w:r>
    </w:p>
    <w:p w:rsidR="005C0BC5" w:rsidRDefault="00543446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Yrityksellä ei ollut lainkaan </w:t>
      </w:r>
      <w:r w:rsidR="00E650FB">
        <w:rPr>
          <w:sz w:val="24"/>
          <w:szCs w:val="24"/>
        </w:rPr>
        <w:t>vaihto-omaisuutta</w:t>
      </w:r>
      <w:r>
        <w:rPr>
          <w:sz w:val="24"/>
          <w:szCs w:val="24"/>
        </w:rPr>
        <w:t xml:space="preserve"> tilikaudella eikä sitä edeltävällä kaudella. Väite: </w:t>
      </w:r>
      <w:r w:rsidR="00DC31CE">
        <w:rPr>
          <w:sz w:val="24"/>
          <w:szCs w:val="24"/>
        </w:rPr>
        <w:t>Taseen ryhmän ”vaihto-omaisuus”</w:t>
      </w:r>
      <w:r>
        <w:rPr>
          <w:sz w:val="24"/>
          <w:szCs w:val="24"/>
        </w:rPr>
        <w:t xml:space="preserve"> saa jättää tällöin pois tilinpäätöksen taseesta.</w:t>
      </w:r>
    </w:p>
    <w:p w:rsidR="00143AE2" w:rsidRDefault="00DC31CE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Ylikurssi</w:t>
      </w:r>
      <w:r w:rsidR="00543446">
        <w:rPr>
          <w:sz w:val="24"/>
          <w:szCs w:val="24"/>
        </w:rPr>
        <w:t>rahasto</w:t>
      </w:r>
      <w:r w:rsidR="00F93C2A">
        <w:rPr>
          <w:sz w:val="24"/>
          <w:szCs w:val="24"/>
        </w:rPr>
        <w:t xml:space="preserve"> kuuluu osakeyhtiöllä vapaaseen omaan pääomaan.</w:t>
      </w:r>
    </w:p>
    <w:p w:rsidR="00F93C2A" w:rsidRDefault="00191740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Tuotantokoneen osto (velaksi) yrityksen omaan pitkäaikaiseen käyttöön hintaan 500 plus alv 120 kirjattaisiin per koneet ja kalusto 620 </w:t>
      </w:r>
      <w:r w:rsidR="00C04549">
        <w:rPr>
          <w:sz w:val="24"/>
          <w:szCs w:val="24"/>
        </w:rPr>
        <w:t>an ostojen alv 120 an ostovelat 50</w:t>
      </w:r>
      <w:r>
        <w:rPr>
          <w:sz w:val="24"/>
          <w:szCs w:val="24"/>
        </w:rPr>
        <w:t>0.</w:t>
      </w:r>
    </w:p>
    <w:p w:rsidR="00F93C2A" w:rsidRDefault="00F93C2A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Asiakkaalle lähetetty hyvityslasku </w:t>
      </w:r>
      <w:r w:rsidR="00975B60">
        <w:rPr>
          <w:sz w:val="24"/>
          <w:szCs w:val="24"/>
        </w:rPr>
        <w:t>100 plus alv 24</w:t>
      </w:r>
      <w:r>
        <w:rPr>
          <w:sz w:val="24"/>
          <w:szCs w:val="24"/>
        </w:rPr>
        <w:t xml:space="preserve"> kirjataan: per myynti </w:t>
      </w:r>
      <w:r w:rsidR="00975B60">
        <w:rPr>
          <w:sz w:val="24"/>
          <w:szCs w:val="24"/>
        </w:rPr>
        <w:t>100</w:t>
      </w:r>
      <w:r>
        <w:rPr>
          <w:sz w:val="24"/>
          <w:szCs w:val="24"/>
        </w:rPr>
        <w:t xml:space="preserve">, </w:t>
      </w:r>
      <w:r w:rsidR="00975B60">
        <w:rPr>
          <w:sz w:val="24"/>
          <w:szCs w:val="24"/>
        </w:rPr>
        <w:t>per myynnin alv 24 an</w:t>
      </w:r>
      <w:r>
        <w:rPr>
          <w:sz w:val="24"/>
          <w:szCs w:val="24"/>
        </w:rPr>
        <w:t xml:space="preserve"> myy</w:t>
      </w:r>
      <w:r w:rsidR="00975B60">
        <w:rPr>
          <w:sz w:val="24"/>
          <w:szCs w:val="24"/>
        </w:rPr>
        <w:t>ntisaamiset 124</w:t>
      </w:r>
      <w:r>
        <w:rPr>
          <w:sz w:val="24"/>
          <w:szCs w:val="24"/>
        </w:rPr>
        <w:t>.</w:t>
      </w:r>
    </w:p>
    <w:p w:rsidR="00F93C2A" w:rsidRDefault="00F93C2A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Asiakkaalta oleva myyntisaaminen 124 (sis.alv 24) kirjataan luottotappioksi: per </w:t>
      </w:r>
      <w:r w:rsidR="001D2A05">
        <w:rPr>
          <w:sz w:val="24"/>
          <w:szCs w:val="24"/>
        </w:rPr>
        <w:t>myynti</w:t>
      </w:r>
      <w:r w:rsidR="00543446">
        <w:rPr>
          <w:sz w:val="24"/>
          <w:szCs w:val="24"/>
        </w:rPr>
        <w:t xml:space="preserve"> 1</w:t>
      </w:r>
      <w:r w:rsidR="001D2A05">
        <w:rPr>
          <w:sz w:val="24"/>
          <w:szCs w:val="24"/>
        </w:rPr>
        <w:t>00</w:t>
      </w:r>
      <w:r>
        <w:rPr>
          <w:sz w:val="24"/>
          <w:szCs w:val="24"/>
        </w:rPr>
        <w:t>, per myynnin alv</w:t>
      </w:r>
      <w:r w:rsidR="00543446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 an myyntisaamiset 124.</w:t>
      </w:r>
    </w:p>
    <w:p w:rsidR="00F93C2A" w:rsidRDefault="00C039F3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Myytäväksi tarkoitetun t</w:t>
      </w:r>
      <w:r w:rsidR="009149FF">
        <w:rPr>
          <w:sz w:val="24"/>
          <w:szCs w:val="24"/>
        </w:rPr>
        <w:t xml:space="preserve">avaran osto </w:t>
      </w:r>
      <w:r w:rsidR="001D2A05">
        <w:rPr>
          <w:sz w:val="24"/>
          <w:szCs w:val="24"/>
        </w:rPr>
        <w:t>Saksasta</w:t>
      </w:r>
      <w:r w:rsidR="009149FF">
        <w:rPr>
          <w:sz w:val="24"/>
          <w:szCs w:val="24"/>
        </w:rPr>
        <w:t xml:space="preserve"> (lasku 200 €, laskussa alv 0%) kirjataan: per ostot </w:t>
      </w:r>
      <w:r>
        <w:rPr>
          <w:sz w:val="24"/>
          <w:szCs w:val="24"/>
        </w:rPr>
        <w:t>248,</w:t>
      </w:r>
      <w:r w:rsidR="009149FF">
        <w:rPr>
          <w:sz w:val="24"/>
          <w:szCs w:val="24"/>
        </w:rPr>
        <w:t xml:space="preserve"> an ostovelat 200 an </w:t>
      </w:r>
      <w:r w:rsidR="001D2A05">
        <w:rPr>
          <w:sz w:val="24"/>
          <w:szCs w:val="24"/>
        </w:rPr>
        <w:t>yhteisöhankintojen</w:t>
      </w:r>
      <w:r w:rsidR="009149FF">
        <w:rPr>
          <w:sz w:val="24"/>
          <w:szCs w:val="24"/>
        </w:rPr>
        <w:t xml:space="preserve"> alv 48.</w:t>
      </w:r>
    </w:p>
    <w:p w:rsidR="009149FF" w:rsidRDefault="00DF08FE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Yksityisliikkeen kirjanpito pidettiin maksuperusteella. Omistaja </w:t>
      </w:r>
      <w:r w:rsidR="00C04549">
        <w:rPr>
          <w:sz w:val="24"/>
          <w:szCs w:val="24"/>
        </w:rPr>
        <w:t>nosti yrityksen pankkitililtä 4</w:t>
      </w:r>
      <w:r w:rsidR="006B2021">
        <w:rPr>
          <w:sz w:val="24"/>
          <w:szCs w:val="24"/>
        </w:rPr>
        <w:t>00</w:t>
      </w:r>
      <w:r>
        <w:rPr>
          <w:sz w:val="24"/>
          <w:szCs w:val="24"/>
        </w:rPr>
        <w:t>. Väite: Omistaj</w:t>
      </w:r>
      <w:r w:rsidR="009F7FCB">
        <w:rPr>
          <w:sz w:val="24"/>
          <w:szCs w:val="24"/>
        </w:rPr>
        <w:t xml:space="preserve">an </w:t>
      </w:r>
      <w:r w:rsidR="006B2021">
        <w:rPr>
          <w:sz w:val="24"/>
          <w:szCs w:val="24"/>
        </w:rPr>
        <w:t>rahanosto</w:t>
      </w:r>
      <w:r w:rsidR="009F7FCB">
        <w:rPr>
          <w:sz w:val="24"/>
          <w:szCs w:val="24"/>
        </w:rPr>
        <w:t xml:space="preserve"> kirjataan</w:t>
      </w:r>
      <w:r>
        <w:rPr>
          <w:sz w:val="24"/>
          <w:szCs w:val="24"/>
        </w:rPr>
        <w:t xml:space="preserve"> per </w:t>
      </w:r>
      <w:r w:rsidR="006B2021">
        <w:rPr>
          <w:sz w:val="24"/>
          <w:szCs w:val="24"/>
        </w:rPr>
        <w:t>saamiset omistajalta</w:t>
      </w:r>
      <w:r>
        <w:rPr>
          <w:sz w:val="24"/>
          <w:szCs w:val="24"/>
        </w:rPr>
        <w:t xml:space="preserve"> an </w:t>
      </w:r>
      <w:r w:rsidR="006B2021">
        <w:rPr>
          <w:sz w:val="24"/>
          <w:szCs w:val="24"/>
        </w:rPr>
        <w:t>pankki</w:t>
      </w:r>
      <w:r w:rsidR="00C04549">
        <w:rPr>
          <w:sz w:val="24"/>
          <w:szCs w:val="24"/>
        </w:rPr>
        <w:t xml:space="preserve"> 4</w:t>
      </w:r>
      <w:r>
        <w:rPr>
          <w:sz w:val="24"/>
          <w:szCs w:val="24"/>
        </w:rPr>
        <w:t>00.</w:t>
      </w:r>
    </w:p>
    <w:p w:rsidR="00DF08FE" w:rsidRDefault="00DF08FE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Kohdan 20 yksityisliikkeen omistaja </w:t>
      </w:r>
      <w:r w:rsidR="00CF7EE8">
        <w:rPr>
          <w:sz w:val="24"/>
          <w:szCs w:val="24"/>
        </w:rPr>
        <w:t>sai liikkeensä asiakkaan maksun 200 käteisenä omaan lompakkoonsa</w:t>
      </w:r>
      <w:r>
        <w:rPr>
          <w:sz w:val="24"/>
          <w:szCs w:val="24"/>
        </w:rPr>
        <w:t xml:space="preserve">. Väite: Tapahtuma kirjataan per </w:t>
      </w:r>
      <w:r w:rsidR="00CF7EE8">
        <w:rPr>
          <w:sz w:val="24"/>
          <w:szCs w:val="24"/>
        </w:rPr>
        <w:t>oma pääoma an myynti 200</w:t>
      </w:r>
      <w:r>
        <w:rPr>
          <w:sz w:val="24"/>
          <w:szCs w:val="24"/>
        </w:rPr>
        <w:t>.</w:t>
      </w:r>
    </w:p>
    <w:p w:rsidR="00DF08FE" w:rsidRDefault="00DF08FE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Kohdan 20 yks</w:t>
      </w:r>
      <w:r w:rsidR="00C039F3">
        <w:rPr>
          <w:sz w:val="24"/>
          <w:szCs w:val="24"/>
        </w:rPr>
        <w:t>ityisliikkeen omistaja otti oma</w:t>
      </w:r>
      <w:r>
        <w:rPr>
          <w:sz w:val="24"/>
          <w:szCs w:val="24"/>
        </w:rPr>
        <w:t>n yksityistalou</w:t>
      </w:r>
      <w:r w:rsidR="009F7FCB">
        <w:rPr>
          <w:sz w:val="24"/>
          <w:szCs w:val="24"/>
        </w:rPr>
        <w:t>tensa käyttöön liikkeeseen</w:t>
      </w:r>
      <w:r>
        <w:rPr>
          <w:sz w:val="24"/>
          <w:szCs w:val="24"/>
        </w:rPr>
        <w:t xml:space="preserve"> myyntitarkoitukseen hankittuja tavaroita, joiden hankintameno oli </w:t>
      </w:r>
      <w:r w:rsidR="00CF7EE8">
        <w:rPr>
          <w:sz w:val="24"/>
          <w:szCs w:val="24"/>
        </w:rPr>
        <w:t>10</w:t>
      </w:r>
      <w:r>
        <w:rPr>
          <w:sz w:val="24"/>
          <w:szCs w:val="24"/>
        </w:rPr>
        <w:t xml:space="preserve">0 </w:t>
      </w:r>
      <w:r w:rsidR="00CF7EE8">
        <w:rPr>
          <w:sz w:val="24"/>
          <w:szCs w:val="24"/>
        </w:rPr>
        <w:t>(plus alv 24) ja tavoiteltu myyntihinta 1</w:t>
      </w:r>
      <w:r>
        <w:rPr>
          <w:sz w:val="24"/>
          <w:szCs w:val="24"/>
        </w:rPr>
        <w:t>50</w:t>
      </w:r>
      <w:r w:rsidR="00CF7EE8">
        <w:rPr>
          <w:sz w:val="24"/>
          <w:szCs w:val="24"/>
        </w:rPr>
        <w:t xml:space="preserve"> (plus alv 36)</w:t>
      </w:r>
      <w:r>
        <w:rPr>
          <w:sz w:val="24"/>
          <w:szCs w:val="24"/>
        </w:rPr>
        <w:t>. Väite: Omaan käyttöön otto kirjataan per oma pääo</w:t>
      </w:r>
      <w:r w:rsidR="00A03E86">
        <w:rPr>
          <w:sz w:val="24"/>
          <w:szCs w:val="24"/>
        </w:rPr>
        <w:t xml:space="preserve">ma an </w:t>
      </w:r>
      <w:r w:rsidR="00C04549">
        <w:rPr>
          <w:sz w:val="24"/>
          <w:szCs w:val="24"/>
        </w:rPr>
        <w:t>ostot 124</w:t>
      </w:r>
      <w:r>
        <w:rPr>
          <w:sz w:val="24"/>
          <w:szCs w:val="24"/>
        </w:rPr>
        <w:t>.</w:t>
      </w:r>
    </w:p>
    <w:p w:rsidR="00DF08FE" w:rsidRDefault="00DF08FE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Työntekijän rahapalkka oli </w:t>
      </w:r>
      <w:r w:rsidR="00A03E86">
        <w:rPr>
          <w:sz w:val="24"/>
          <w:szCs w:val="24"/>
        </w:rPr>
        <w:t>3</w:t>
      </w:r>
      <w:r w:rsidR="00D44F5E">
        <w:rPr>
          <w:sz w:val="24"/>
          <w:szCs w:val="24"/>
        </w:rPr>
        <w:t>5</w:t>
      </w:r>
      <w:r>
        <w:rPr>
          <w:sz w:val="24"/>
          <w:szCs w:val="24"/>
        </w:rPr>
        <w:t xml:space="preserve">00, </w:t>
      </w:r>
      <w:r w:rsidR="00D44F5E">
        <w:rPr>
          <w:sz w:val="24"/>
          <w:szCs w:val="24"/>
        </w:rPr>
        <w:t>verovapaat päivärahat</w:t>
      </w:r>
      <w:r>
        <w:rPr>
          <w:sz w:val="24"/>
          <w:szCs w:val="24"/>
        </w:rPr>
        <w:t xml:space="preserve"> 200, ennakonpidätys 30% ja TyEl-pidätys 6%. Väite: Palkanmaksu kirjataan em. tiedoin per palkat </w:t>
      </w:r>
      <w:r w:rsidR="00D44F5E">
        <w:rPr>
          <w:sz w:val="24"/>
          <w:szCs w:val="24"/>
        </w:rPr>
        <w:t>37</w:t>
      </w:r>
      <w:r>
        <w:rPr>
          <w:sz w:val="24"/>
          <w:szCs w:val="24"/>
        </w:rPr>
        <w:t xml:space="preserve">00, an ennakonpidätysvelat </w:t>
      </w:r>
      <w:r w:rsidR="00A03E86">
        <w:rPr>
          <w:sz w:val="24"/>
          <w:szCs w:val="24"/>
        </w:rPr>
        <w:t>1050</w:t>
      </w:r>
      <w:r>
        <w:rPr>
          <w:sz w:val="24"/>
          <w:szCs w:val="24"/>
        </w:rPr>
        <w:t xml:space="preserve">, an eläkemenot </w:t>
      </w:r>
      <w:r w:rsidR="00A03E86">
        <w:rPr>
          <w:sz w:val="24"/>
          <w:szCs w:val="24"/>
        </w:rPr>
        <w:t>210 ja an pankki 2</w:t>
      </w:r>
      <w:r w:rsidR="00C04549">
        <w:rPr>
          <w:sz w:val="24"/>
          <w:szCs w:val="24"/>
        </w:rPr>
        <w:t>6</w:t>
      </w:r>
      <w:r w:rsidR="00A03E86">
        <w:rPr>
          <w:sz w:val="24"/>
          <w:szCs w:val="24"/>
        </w:rPr>
        <w:t>40</w:t>
      </w:r>
      <w:r>
        <w:rPr>
          <w:sz w:val="24"/>
          <w:szCs w:val="24"/>
        </w:rPr>
        <w:t>.</w:t>
      </w:r>
    </w:p>
    <w:p w:rsidR="00DF08FE" w:rsidRDefault="00DF08FE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Tois</w:t>
      </w:r>
      <w:r w:rsidR="003A3902">
        <w:rPr>
          <w:sz w:val="24"/>
          <w:szCs w:val="24"/>
        </w:rPr>
        <w:t>en työntekijän rahapalkka oli 30</w:t>
      </w:r>
      <w:r>
        <w:rPr>
          <w:sz w:val="24"/>
          <w:szCs w:val="24"/>
        </w:rPr>
        <w:t>00, autoedun verotusarvo 500, ennakonpidätys 40% ja Tyel-pidätys 6%. Työntekijä sai lisäksi lounasseteleitä, joista häneltä kuitenkin pidätettiin palkasta lounassetelien verotusarvo 100. Väite: Pal</w:t>
      </w:r>
      <w:r w:rsidR="003A3902">
        <w:rPr>
          <w:sz w:val="24"/>
          <w:szCs w:val="24"/>
        </w:rPr>
        <w:t>kanmaksu kirjataan per palkat 30</w:t>
      </w:r>
      <w:r w:rsidR="00A03E86">
        <w:rPr>
          <w:sz w:val="24"/>
          <w:szCs w:val="24"/>
        </w:rPr>
        <w:t xml:space="preserve">00, </w:t>
      </w:r>
      <w:r>
        <w:rPr>
          <w:sz w:val="24"/>
          <w:szCs w:val="24"/>
        </w:rPr>
        <w:t xml:space="preserve">an ennakonpidätysvelat </w:t>
      </w:r>
      <w:r w:rsidR="003A3902">
        <w:rPr>
          <w:sz w:val="24"/>
          <w:szCs w:val="24"/>
        </w:rPr>
        <w:t>1400, an eläkemenot 210</w:t>
      </w:r>
      <w:r w:rsidR="00E142D7">
        <w:rPr>
          <w:sz w:val="24"/>
          <w:szCs w:val="24"/>
        </w:rPr>
        <w:t>,</w:t>
      </w:r>
      <w:r w:rsidR="003A3902">
        <w:rPr>
          <w:sz w:val="24"/>
          <w:szCs w:val="24"/>
        </w:rPr>
        <w:t xml:space="preserve"> an </w:t>
      </w:r>
      <w:r w:rsidR="00C0453F">
        <w:rPr>
          <w:sz w:val="24"/>
          <w:szCs w:val="24"/>
        </w:rPr>
        <w:t>muut menot 100 ja an pankki 129</w:t>
      </w:r>
      <w:r w:rsidR="00E142D7">
        <w:rPr>
          <w:sz w:val="24"/>
          <w:szCs w:val="24"/>
        </w:rPr>
        <w:t>0.</w:t>
      </w:r>
    </w:p>
    <w:p w:rsidR="003A3902" w:rsidRDefault="00DD6DFF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Osakeyhtiön yhtiökokous päätti </w:t>
      </w:r>
      <w:r w:rsidR="005578CF">
        <w:rPr>
          <w:sz w:val="24"/>
          <w:szCs w:val="24"/>
        </w:rPr>
        <w:t xml:space="preserve">koettaa laajentaa yrityksen omistuspohjaa ja </w:t>
      </w:r>
      <w:r>
        <w:rPr>
          <w:sz w:val="24"/>
          <w:szCs w:val="24"/>
        </w:rPr>
        <w:t xml:space="preserve">korottaa osakepääomaa </w:t>
      </w:r>
      <w:r w:rsidR="009D2E16">
        <w:rPr>
          <w:sz w:val="24"/>
          <w:szCs w:val="24"/>
        </w:rPr>
        <w:t>4</w:t>
      </w:r>
      <w:r>
        <w:rPr>
          <w:sz w:val="24"/>
          <w:szCs w:val="24"/>
        </w:rPr>
        <w:t xml:space="preserve">00 osakkeella. Osakkeiden nimellisarvo oli 10 €/kpl. </w:t>
      </w:r>
      <w:r w:rsidR="00EE3FEF">
        <w:rPr>
          <w:sz w:val="24"/>
          <w:szCs w:val="24"/>
        </w:rPr>
        <w:t>Osakkeet päätettiin tarjota merkittäväksi hintaan 15 €/kpl, ylikurssi SVOP-rahastoon.</w:t>
      </w:r>
      <w:r w:rsidR="00D30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Väite: </w:t>
      </w:r>
      <w:r w:rsidR="00EE3FEF">
        <w:rPr>
          <w:sz w:val="24"/>
          <w:szCs w:val="24"/>
        </w:rPr>
        <w:t>Osakeantipäätös kirjataan per muut saamiset 6000 an osakeanti 4000 an SVOP-rahasto 2000.</w:t>
      </w:r>
    </w:p>
    <w:p w:rsidR="00DD6DFF" w:rsidRDefault="00DD6DFF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Osakeyhtiö oli saanut ja kirjannut maksun </w:t>
      </w:r>
      <w:r w:rsidR="006A6A30">
        <w:rPr>
          <w:sz w:val="24"/>
          <w:szCs w:val="24"/>
        </w:rPr>
        <w:t>kohdan 25 osakeannista</w:t>
      </w:r>
      <w:r>
        <w:rPr>
          <w:sz w:val="24"/>
          <w:szCs w:val="24"/>
        </w:rPr>
        <w:t>. Korotus ilmoitettiin rekisteröitäväksi ja pian saatiin ilmoitus korotuksen rekisteröinnistä. Väite: Tämän jälkeen kirjataa</w:t>
      </w:r>
      <w:r w:rsidR="006A6A30">
        <w:rPr>
          <w:sz w:val="24"/>
          <w:szCs w:val="24"/>
        </w:rPr>
        <w:t>n per osakepääoma an osakeanti 4</w:t>
      </w:r>
      <w:r>
        <w:rPr>
          <w:sz w:val="24"/>
          <w:szCs w:val="24"/>
        </w:rPr>
        <w:t>000.</w:t>
      </w:r>
    </w:p>
    <w:p w:rsidR="00DD6DFF" w:rsidRDefault="00DD6DFF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Osakeyhtiön oman pääoman sisältö oli seuraava: osakepääoma 500, </w:t>
      </w:r>
      <w:r w:rsidR="009D2E16">
        <w:rPr>
          <w:sz w:val="24"/>
          <w:szCs w:val="24"/>
        </w:rPr>
        <w:t>vara</w:t>
      </w:r>
      <w:r>
        <w:rPr>
          <w:sz w:val="24"/>
          <w:szCs w:val="24"/>
        </w:rPr>
        <w:t xml:space="preserve">rahasto 800, sijoitetun vapaan oman pääoman rahasto 400 ja edellisten kausien voitot 600. </w:t>
      </w:r>
      <w:r w:rsidR="000F780C">
        <w:rPr>
          <w:sz w:val="24"/>
          <w:szCs w:val="24"/>
        </w:rPr>
        <w:t xml:space="preserve">Lisäksi </w:t>
      </w:r>
      <w:r w:rsidR="00E650FB">
        <w:rPr>
          <w:sz w:val="24"/>
          <w:szCs w:val="24"/>
        </w:rPr>
        <w:t>tiedossa on, että yrityksellä oli</w:t>
      </w:r>
      <w:r w:rsidR="000F780C">
        <w:rPr>
          <w:sz w:val="24"/>
          <w:szCs w:val="24"/>
        </w:rPr>
        <w:t xml:space="preserve"> aktivoituja kehitysmenoja 100. </w:t>
      </w:r>
      <w:r>
        <w:rPr>
          <w:sz w:val="24"/>
          <w:szCs w:val="24"/>
        </w:rPr>
        <w:t xml:space="preserve">Yrityksen rahoitustilanne oli hyvä. Väite: Maksimi jaettavan osingon määrä olisi em. tiedoin </w:t>
      </w:r>
      <w:r w:rsidR="009D2E16">
        <w:rPr>
          <w:sz w:val="24"/>
          <w:szCs w:val="24"/>
        </w:rPr>
        <w:t>10</w:t>
      </w:r>
      <w:r w:rsidR="00FB7BE3">
        <w:rPr>
          <w:sz w:val="24"/>
          <w:szCs w:val="24"/>
        </w:rPr>
        <w:t>00.</w:t>
      </w:r>
    </w:p>
    <w:p w:rsidR="00FB7BE3" w:rsidRDefault="003E537C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Yrityksellä oli pitkäaikainen (5v.) kertalyhenteinen laina USD 10 000, j</w:t>
      </w:r>
      <w:r w:rsidR="008A41C7">
        <w:rPr>
          <w:sz w:val="24"/>
          <w:szCs w:val="24"/>
        </w:rPr>
        <w:t>onka kirjanpitoarvo oli 90</w:t>
      </w:r>
      <w:r>
        <w:rPr>
          <w:sz w:val="24"/>
          <w:szCs w:val="24"/>
        </w:rPr>
        <w:t>00 euroa. Tilinpäätösh</w:t>
      </w:r>
      <w:r w:rsidR="009552CD">
        <w:rPr>
          <w:sz w:val="24"/>
          <w:szCs w:val="24"/>
        </w:rPr>
        <w:t>etkellä dollarin kurssi oli 0</w:t>
      </w:r>
      <w:r w:rsidR="008A41C7">
        <w:rPr>
          <w:sz w:val="24"/>
          <w:szCs w:val="24"/>
        </w:rPr>
        <w:t>,95</w:t>
      </w:r>
      <w:r>
        <w:rPr>
          <w:sz w:val="24"/>
          <w:szCs w:val="24"/>
        </w:rPr>
        <w:t xml:space="preserve">. Väite: </w:t>
      </w:r>
      <w:r w:rsidR="009552CD">
        <w:rPr>
          <w:sz w:val="24"/>
          <w:szCs w:val="24"/>
        </w:rPr>
        <w:t xml:space="preserve">Mainitun lainan osalta voidaan tilinpäätökseen tehdä kirjaus per </w:t>
      </w:r>
      <w:r w:rsidR="008A41C7">
        <w:rPr>
          <w:sz w:val="24"/>
          <w:szCs w:val="24"/>
        </w:rPr>
        <w:t>siirtosaamiset an lainat 500</w:t>
      </w:r>
      <w:r w:rsidR="009552CD">
        <w:rPr>
          <w:sz w:val="24"/>
          <w:szCs w:val="24"/>
        </w:rPr>
        <w:t>.</w:t>
      </w:r>
    </w:p>
    <w:p w:rsidR="003E537C" w:rsidRDefault="00C22513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Yrityksellä oli myös </w:t>
      </w:r>
      <w:r w:rsidR="008A41C7">
        <w:rPr>
          <w:sz w:val="24"/>
          <w:szCs w:val="24"/>
        </w:rPr>
        <w:t>lyhyt</w:t>
      </w:r>
      <w:r>
        <w:rPr>
          <w:sz w:val="24"/>
          <w:szCs w:val="24"/>
        </w:rPr>
        <w:t xml:space="preserve">aikainen laina SEK 50 000, jonka kirjanpitoarvo oli 5000 €. Tilinpäätöshetkellä SEK-kurssi oli vain 0,08 euroa. </w:t>
      </w:r>
      <w:r w:rsidR="003E537C">
        <w:rPr>
          <w:sz w:val="24"/>
          <w:szCs w:val="24"/>
        </w:rPr>
        <w:t xml:space="preserve">Väite: </w:t>
      </w:r>
      <w:r w:rsidR="008A41C7">
        <w:rPr>
          <w:sz w:val="24"/>
          <w:szCs w:val="24"/>
        </w:rPr>
        <w:t>Mainitun</w:t>
      </w:r>
      <w:r w:rsidR="003E537C">
        <w:rPr>
          <w:sz w:val="24"/>
          <w:szCs w:val="24"/>
        </w:rPr>
        <w:t xml:space="preserve"> lainan osalta </w:t>
      </w:r>
      <w:r w:rsidR="00190078">
        <w:rPr>
          <w:sz w:val="24"/>
          <w:szCs w:val="24"/>
        </w:rPr>
        <w:t xml:space="preserve">voidaan tehdä </w:t>
      </w:r>
      <w:r w:rsidR="008A41C7">
        <w:rPr>
          <w:sz w:val="24"/>
          <w:szCs w:val="24"/>
        </w:rPr>
        <w:t xml:space="preserve">tilinpäätöksen yhteydessä </w:t>
      </w:r>
      <w:r w:rsidR="00190078">
        <w:rPr>
          <w:sz w:val="24"/>
          <w:szCs w:val="24"/>
        </w:rPr>
        <w:t xml:space="preserve">kirjaus: per lainat 1000 an </w:t>
      </w:r>
      <w:r w:rsidR="008A41C7">
        <w:rPr>
          <w:sz w:val="24"/>
          <w:szCs w:val="24"/>
        </w:rPr>
        <w:t xml:space="preserve">siirtovelat </w:t>
      </w:r>
      <w:r w:rsidR="00190078">
        <w:rPr>
          <w:sz w:val="24"/>
          <w:szCs w:val="24"/>
        </w:rPr>
        <w:t>1000</w:t>
      </w:r>
      <w:r w:rsidR="003E537C">
        <w:rPr>
          <w:sz w:val="24"/>
          <w:szCs w:val="24"/>
        </w:rPr>
        <w:t>.</w:t>
      </w:r>
    </w:p>
    <w:p w:rsidR="003E537C" w:rsidRDefault="002C6745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Yritys vastaanotti</w:t>
      </w:r>
      <w:r w:rsidR="003E537C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124F77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3E537C">
        <w:rPr>
          <w:sz w:val="24"/>
          <w:szCs w:val="24"/>
        </w:rPr>
        <w:t xml:space="preserve"> tuotantokoneen, jonka hankintameno oli </w:t>
      </w:r>
      <w:r>
        <w:rPr>
          <w:sz w:val="24"/>
          <w:szCs w:val="24"/>
        </w:rPr>
        <w:t>65</w:t>
      </w:r>
      <w:r w:rsidR="003E537C">
        <w:rPr>
          <w:sz w:val="24"/>
          <w:szCs w:val="24"/>
        </w:rPr>
        <w:t xml:space="preserve">00, jäännösarvo 500 ja arvioitu pitoaika viisi vuotta. </w:t>
      </w:r>
      <w:r w:rsidR="00124F77">
        <w:rPr>
          <w:sz w:val="24"/>
          <w:szCs w:val="24"/>
        </w:rPr>
        <w:t>Kone otettiin käyttöön asennuksen jälkeen 1.11.</w:t>
      </w:r>
      <w:r w:rsidR="003E537C">
        <w:rPr>
          <w:sz w:val="24"/>
          <w:szCs w:val="24"/>
        </w:rPr>
        <w:t xml:space="preserve"> Väite: </w:t>
      </w:r>
      <w:r w:rsidR="00124F77">
        <w:rPr>
          <w:sz w:val="24"/>
          <w:szCs w:val="24"/>
        </w:rPr>
        <w:t>Koneen suunnitelmapoisto on hankintavuonna (tasapoistona) 200</w:t>
      </w:r>
      <w:r w:rsidR="003E537C">
        <w:rPr>
          <w:sz w:val="24"/>
          <w:szCs w:val="24"/>
        </w:rPr>
        <w:t>.</w:t>
      </w:r>
    </w:p>
    <w:p w:rsidR="003E537C" w:rsidRDefault="003E537C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Tehtävän 30 kon</w:t>
      </w:r>
      <w:r w:rsidR="00124F77">
        <w:rPr>
          <w:sz w:val="24"/>
          <w:szCs w:val="24"/>
        </w:rPr>
        <w:t xml:space="preserve">eesta voisi tehdä tasapoiston 200 lisäksi ylipoistoa </w:t>
      </w:r>
      <w:r w:rsidR="00A249C0">
        <w:rPr>
          <w:sz w:val="24"/>
          <w:szCs w:val="24"/>
        </w:rPr>
        <w:t xml:space="preserve">korkeintaan </w:t>
      </w:r>
      <w:r w:rsidR="00124F77">
        <w:rPr>
          <w:sz w:val="24"/>
          <w:szCs w:val="24"/>
        </w:rPr>
        <w:t>1300</w:t>
      </w:r>
      <w:r>
        <w:rPr>
          <w:sz w:val="24"/>
          <w:szCs w:val="24"/>
        </w:rPr>
        <w:t>.</w:t>
      </w:r>
    </w:p>
    <w:p w:rsidR="003E537C" w:rsidRDefault="00124F77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Yritys myi 1.4</w:t>
      </w:r>
      <w:r w:rsidR="003E537C">
        <w:rPr>
          <w:sz w:val="24"/>
          <w:szCs w:val="24"/>
        </w:rPr>
        <w:t xml:space="preserve">. erään rakennuksensa hintaan 4000. Rakennuksen tasearvo oli tilikauden alussa 2800 ja suunnitelmapoistot 400 per vuosi. Rakennuksesta oli tehty </w:t>
      </w:r>
      <w:r>
        <w:rPr>
          <w:sz w:val="24"/>
          <w:szCs w:val="24"/>
        </w:rPr>
        <w:t xml:space="preserve">aiemmin </w:t>
      </w:r>
      <w:r w:rsidR="003E537C">
        <w:rPr>
          <w:sz w:val="24"/>
          <w:szCs w:val="24"/>
        </w:rPr>
        <w:t>ylipoistoa verotusta varten yhteensä 500. Väite: Rakennukse</w:t>
      </w:r>
      <w:r>
        <w:rPr>
          <w:sz w:val="24"/>
          <w:szCs w:val="24"/>
        </w:rPr>
        <w:t>n myynti kirjataan per poistot 1</w:t>
      </w:r>
      <w:r w:rsidR="003E537C">
        <w:rPr>
          <w:sz w:val="24"/>
          <w:szCs w:val="24"/>
        </w:rPr>
        <w:t>00 an raken</w:t>
      </w:r>
      <w:r>
        <w:rPr>
          <w:sz w:val="24"/>
          <w:szCs w:val="24"/>
        </w:rPr>
        <w:t>nus 1</w:t>
      </w:r>
      <w:r w:rsidR="006B5388">
        <w:rPr>
          <w:sz w:val="24"/>
          <w:szCs w:val="24"/>
        </w:rPr>
        <w:t xml:space="preserve">00, per kertynyt poistoero 500 an </w:t>
      </w:r>
      <w:r w:rsidR="00EB101D">
        <w:rPr>
          <w:sz w:val="24"/>
          <w:szCs w:val="24"/>
        </w:rPr>
        <w:t>poistoeron muutos 500 sekä p</w:t>
      </w:r>
      <w:r>
        <w:rPr>
          <w:sz w:val="24"/>
          <w:szCs w:val="24"/>
        </w:rPr>
        <w:t>er pankki 4000 an rakennukset 27</w:t>
      </w:r>
      <w:r w:rsidR="00EB101D">
        <w:rPr>
          <w:sz w:val="24"/>
          <w:szCs w:val="24"/>
        </w:rPr>
        <w:t>00 an muut tuotot 1</w:t>
      </w:r>
      <w:r>
        <w:rPr>
          <w:sz w:val="24"/>
          <w:szCs w:val="24"/>
        </w:rPr>
        <w:t>3</w:t>
      </w:r>
      <w:r w:rsidR="006B5388">
        <w:rPr>
          <w:sz w:val="24"/>
          <w:szCs w:val="24"/>
        </w:rPr>
        <w:t>00.</w:t>
      </w:r>
    </w:p>
    <w:p w:rsidR="006B5388" w:rsidRDefault="00A71F75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Yrityksen varasto sijaitsi vuokratulla maa-alueella. Varastolla tapahtui öljyvuoto, jonka vuoksi yrityksen tuli puhdistaa laajasti maa-aluetta vuokrasopimuksen päättyessä kahden vuoden kuluttua. Väite: Arvioidut maaperän puhdistuskustannukset 500 tulee kirjata kuluksi öljyvuodon tapahtumavuoden tilinpäätökseen kirjauksella per muut menot an pakolliset varaukset 500.</w:t>
      </w:r>
    </w:p>
    <w:p w:rsidR="006B5388" w:rsidRDefault="006B5388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Yritys </w:t>
      </w:r>
      <w:r w:rsidR="00451DD1">
        <w:rPr>
          <w:sz w:val="24"/>
          <w:szCs w:val="24"/>
        </w:rPr>
        <w:t xml:space="preserve">sai </w:t>
      </w:r>
      <w:r w:rsidR="00CE24FE">
        <w:rPr>
          <w:sz w:val="24"/>
          <w:szCs w:val="24"/>
        </w:rPr>
        <w:t>investointi</w:t>
      </w:r>
      <w:r w:rsidR="00451DD1">
        <w:rPr>
          <w:sz w:val="24"/>
          <w:szCs w:val="24"/>
        </w:rPr>
        <w:t>avustusta 5000.</w:t>
      </w:r>
      <w:r>
        <w:rPr>
          <w:sz w:val="24"/>
          <w:szCs w:val="24"/>
        </w:rPr>
        <w:t xml:space="preserve"> Väite: </w:t>
      </w:r>
      <w:r w:rsidR="00CE24FE">
        <w:rPr>
          <w:sz w:val="24"/>
          <w:szCs w:val="24"/>
        </w:rPr>
        <w:t>Avustus kirjataan tilinpäätökseen per pankki an muut tuotot 5000</w:t>
      </w:r>
      <w:r w:rsidR="00451DD1">
        <w:rPr>
          <w:sz w:val="24"/>
          <w:szCs w:val="24"/>
        </w:rPr>
        <w:t>.</w:t>
      </w:r>
    </w:p>
    <w:p w:rsidR="006B5388" w:rsidRDefault="006B5388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Yritys maksoi (ja kirjasi muihin menoihin) 1.</w:t>
      </w:r>
      <w:r w:rsidR="001916C3">
        <w:rPr>
          <w:sz w:val="24"/>
          <w:szCs w:val="24"/>
        </w:rPr>
        <w:t>9</w:t>
      </w:r>
      <w:r>
        <w:rPr>
          <w:sz w:val="24"/>
          <w:szCs w:val="24"/>
        </w:rPr>
        <w:t xml:space="preserve">. vakuutusmaksua </w:t>
      </w:r>
      <w:r w:rsidR="00CE24FE">
        <w:rPr>
          <w:sz w:val="24"/>
          <w:szCs w:val="24"/>
        </w:rPr>
        <w:t>9</w:t>
      </w:r>
      <w:r>
        <w:rPr>
          <w:sz w:val="24"/>
          <w:szCs w:val="24"/>
        </w:rPr>
        <w:t>00 kaudelta, joka ulottui maksuhetkestä 12 kuukautta eteenpäin. Väite: Vakuutusmaksu tulee jaksottaa tilinpäätöksessä kirjauksella pe</w:t>
      </w:r>
      <w:r w:rsidR="00CE24FE">
        <w:rPr>
          <w:sz w:val="24"/>
          <w:szCs w:val="24"/>
        </w:rPr>
        <w:t>r siirtosaamiset an muut menot 6</w:t>
      </w:r>
      <w:r w:rsidR="001916C3">
        <w:rPr>
          <w:sz w:val="24"/>
          <w:szCs w:val="24"/>
        </w:rPr>
        <w:t>0</w:t>
      </w:r>
      <w:r>
        <w:rPr>
          <w:sz w:val="24"/>
          <w:szCs w:val="24"/>
        </w:rPr>
        <w:t>0.</w:t>
      </w:r>
    </w:p>
    <w:p w:rsidR="006B5388" w:rsidRDefault="006B5388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Yrityksen lainasta 5000 </w:t>
      </w:r>
      <w:r w:rsidR="00C37E15">
        <w:rPr>
          <w:sz w:val="24"/>
          <w:szCs w:val="24"/>
        </w:rPr>
        <w:t xml:space="preserve">(saldo 31.12.) </w:t>
      </w:r>
      <w:r>
        <w:rPr>
          <w:sz w:val="24"/>
          <w:szCs w:val="24"/>
        </w:rPr>
        <w:t xml:space="preserve">oli viimeksi maksettu </w:t>
      </w:r>
      <w:r w:rsidR="00E6028C">
        <w:rPr>
          <w:sz w:val="24"/>
          <w:szCs w:val="24"/>
        </w:rPr>
        <w:t xml:space="preserve">(ja kirjattu) korkoa (6% p.a.) ja lyhennystä </w:t>
      </w:r>
      <w:r w:rsidR="00F24E9C">
        <w:rPr>
          <w:sz w:val="24"/>
          <w:szCs w:val="24"/>
        </w:rPr>
        <w:t>1</w:t>
      </w:r>
      <w:r w:rsidR="00E6028C">
        <w:rPr>
          <w:sz w:val="24"/>
          <w:szCs w:val="24"/>
        </w:rPr>
        <w:t>.10</w:t>
      </w:r>
      <w:r w:rsidR="00F24E9C">
        <w:rPr>
          <w:sz w:val="24"/>
          <w:szCs w:val="24"/>
        </w:rPr>
        <w:t xml:space="preserve">. </w:t>
      </w:r>
      <w:r>
        <w:rPr>
          <w:sz w:val="24"/>
          <w:szCs w:val="24"/>
        </w:rPr>
        <w:t>Väite: Tilinpäätöksessä tulee tehdä korkojaksotus kirjauksella p</w:t>
      </w:r>
      <w:r w:rsidR="00F24E9C">
        <w:rPr>
          <w:sz w:val="24"/>
          <w:szCs w:val="24"/>
        </w:rPr>
        <w:t xml:space="preserve">er korkomenot an siirtovelat </w:t>
      </w:r>
      <w:r w:rsidR="00E6028C">
        <w:rPr>
          <w:sz w:val="24"/>
          <w:szCs w:val="24"/>
        </w:rPr>
        <w:t>75</w:t>
      </w:r>
      <w:r>
        <w:rPr>
          <w:sz w:val="24"/>
          <w:szCs w:val="24"/>
        </w:rPr>
        <w:t>.</w:t>
      </w:r>
    </w:p>
    <w:p w:rsidR="006B5388" w:rsidRDefault="00F71CF8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Liitteenä on erään osakeyhtiön tuloslaskelma ja tase (yksinkertaistettuina). Väite: Liitteen yrityksen </w:t>
      </w:r>
      <w:r w:rsidR="000D4742">
        <w:rPr>
          <w:sz w:val="24"/>
          <w:szCs w:val="24"/>
        </w:rPr>
        <w:t xml:space="preserve">kannattavuus näyttää </w:t>
      </w:r>
      <w:r w:rsidR="005E6A92">
        <w:rPr>
          <w:sz w:val="24"/>
          <w:szCs w:val="24"/>
        </w:rPr>
        <w:t>heikentyneen hieman</w:t>
      </w:r>
      <w:r w:rsidR="000D4742">
        <w:rPr>
          <w:sz w:val="24"/>
          <w:szCs w:val="24"/>
        </w:rPr>
        <w:t xml:space="preserve"> vuonna 2</w:t>
      </w:r>
      <w:r w:rsidR="005E6A92">
        <w:rPr>
          <w:sz w:val="24"/>
          <w:szCs w:val="24"/>
        </w:rPr>
        <w:t>, mutta olevan yhä</w:t>
      </w:r>
      <w:r w:rsidR="000D4742">
        <w:rPr>
          <w:sz w:val="24"/>
          <w:szCs w:val="24"/>
        </w:rPr>
        <w:t xml:space="preserve"> hyvällä tasolla.</w:t>
      </w:r>
    </w:p>
    <w:p w:rsidR="000D4742" w:rsidRDefault="000D4742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Liittee</w:t>
      </w:r>
      <w:r w:rsidR="002A0E41">
        <w:rPr>
          <w:sz w:val="24"/>
          <w:szCs w:val="24"/>
        </w:rPr>
        <w:t xml:space="preserve">n yrityksen </w:t>
      </w:r>
      <w:r w:rsidR="005E6A92">
        <w:rPr>
          <w:sz w:val="24"/>
          <w:szCs w:val="24"/>
        </w:rPr>
        <w:t>quick</w:t>
      </w:r>
      <w:r w:rsidR="00D12750">
        <w:rPr>
          <w:sz w:val="24"/>
          <w:szCs w:val="24"/>
        </w:rPr>
        <w:t xml:space="preserve"> ratio oli vuonna 2 noin 1,2</w:t>
      </w:r>
      <w:r w:rsidR="002A0E41">
        <w:rPr>
          <w:sz w:val="24"/>
          <w:szCs w:val="24"/>
        </w:rPr>
        <w:t xml:space="preserve"> ja maksuvalmius vaikutti olevan hyvällä tasolla.</w:t>
      </w:r>
    </w:p>
    <w:p w:rsidR="002A0E41" w:rsidRDefault="002A0E41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Liitteen yrityksen vakavaraisuus näyttää parantuneen </w:t>
      </w:r>
      <w:r w:rsidR="00D12750">
        <w:rPr>
          <w:sz w:val="24"/>
          <w:szCs w:val="24"/>
        </w:rPr>
        <w:t>selvästi</w:t>
      </w:r>
      <w:r>
        <w:rPr>
          <w:sz w:val="24"/>
          <w:szCs w:val="24"/>
        </w:rPr>
        <w:t xml:space="preserve"> ja olleen vuonna 2 jo hyvällä tasolla.</w:t>
      </w:r>
    </w:p>
    <w:p w:rsidR="00EE0FAE" w:rsidRDefault="00EE0FAE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Liitteen yrityksen investointien määrä vuonna 2 näyttää olleen </w:t>
      </w:r>
      <w:r w:rsidR="00E1023F">
        <w:rPr>
          <w:sz w:val="24"/>
          <w:szCs w:val="24"/>
        </w:rPr>
        <w:t>125</w:t>
      </w:r>
      <w:r>
        <w:rPr>
          <w:sz w:val="24"/>
          <w:szCs w:val="24"/>
        </w:rPr>
        <w:t>.</w:t>
      </w:r>
    </w:p>
    <w:p w:rsidR="00EE0FAE" w:rsidRDefault="00EE0FAE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Liitteen yrityksen jakamien osinkojen </w:t>
      </w:r>
      <w:r w:rsidR="00615F35">
        <w:rPr>
          <w:sz w:val="24"/>
          <w:szCs w:val="24"/>
        </w:rPr>
        <w:t>määrä vuonna 2 näyttää olleen 53</w:t>
      </w:r>
      <w:r>
        <w:rPr>
          <w:sz w:val="24"/>
          <w:szCs w:val="24"/>
        </w:rPr>
        <w:t>.</w:t>
      </w:r>
    </w:p>
    <w:p w:rsidR="002A0E41" w:rsidRDefault="002C205D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Pörssiyhtiön voitto oli </w:t>
      </w:r>
      <w:r w:rsidR="0027646A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412DE6">
        <w:rPr>
          <w:sz w:val="24"/>
          <w:szCs w:val="24"/>
        </w:rPr>
        <w:t>29</w:t>
      </w:r>
      <w:r>
        <w:rPr>
          <w:sz w:val="24"/>
          <w:szCs w:val="24"/>
        </w:rPr>
        <w:t xml:space="preserve"> M€, osakkeiden määrä 2,</w:t>
      </w:r>
      <w:r w:rsidR="00412DE6">
        <w:rPr>
          <w:sz w:val="24"/>
          <w:szCs w:val="24"/>
        </w:rPr>
        <w:t>65</w:t>
      </w:r>
      <w:r>
        <w:rPr>
          <w:sz w:val="24"/>
          <w:szCs w:val="24"/>
        </w:rPr>
        <w:t xml:space="preserve"> </w:t>
      </w:r>
      <w:r w:rsidR="00CA4654">
        <w:rPr>
          <w:sz w:val="24"/>
          <w:szCs w:val="24"/>
        </w:rPr>
        <w:t xml:space="preserve">miljoonaa kappaletta </w:t>
      </w:r>
      <w:r>
        <w:rPr>
          <w:sz w:val="24"/>
          <w:szCs w:val="24"/>
        </w:rPr>
        <w:t xml:space="preserve">ja osakekurssi </w:t>
      </w:r>
      <w:r w:rsidR="0027646A">
        <w:rPr>
          <w:sz w:val="24"/>
          <w:szCs w:val="24"/>
        </w:rPr>
        <w:t>2</w:t>
      </w:r>
      <w:r w:rsidR="00412DE6">
        <w:rPr>
          <w:sz w:val="24"/>
          <w:szCs w:val="24"/>
        </w:rPr>
        <w:t xml:space="preserve">2,7 </w:t>
      </w:r>
      <w:r>
        <w:rPr>
          <w:sz w:val="24"/>
          <w:szCs w:val="24"/>
        </w:rPr>
        <w:t xml:space="preserve">euroa. </w:t>
      </w:r>
      <w:r w:rsidR="00077A10">
        <w:rPr>
          <w:sz w:val="24"/>
          <w:szCs w:val="24"/>
        </w:rPr>
        <w:t xml:space="preserve">Yhtiön taseen oma pääoma oli </w:t>
      </w:r>
      <w:r w:rsidR="00AE1015">
        <w:rPr>
          <w:sz w:val="24"/>
          <w:szCs w:val="24"/>
        </w:rPr>
        <w:t>3</w:t>
      </w:r>
      <w:r w:rsidR="00C37E15">
        <w:rPr>
          <w:sz w:val="24"/>
          <w:szCs w:val="24"/>
        </w:rPr>
        <w:t>4,</w:t>
      </w:r>
      <w:r w:rsidR="0027646A">
        <w:rPr>
          <w:sz w:val="24"/>
          <w:szCs w:val="24"/>
        </w:rPr>
        <w:t>3</w:t>
      </w:r>
      <w:r w:rsidR="00CA4654">
        <w:rPr>
          <w:sz w:val="24"/>
          <w:szCs w:val="24"/>
        </w:rPr>
        <w:t xml:space="preserve"> M€ ja jaettavaksi päätetty osinko yhteensä 2,</w:t>
      </w:r>
      <w:r w:rsidR="00412DE6">
        <w:rPr>
          <w:sz w:val="24"/>
          <w:szCs w:val="24"/>
        </w:rPr>
        <w:t>1</w:t>
      </w:r>
      <w:r w:rsidR="00CA4654">
        <w:rPr>
          <w:sz w:val="24"/>
          <w:szCs w:val="24"/>
        </w:rPr>
        <w:t xml:space="preserve"> M€. </w:t>
      </w:r>
      <w:r>
        <w:rPr>
          <w:sz w:val="24"/>
          <w:szCs w:val="24"/>
        </w:rPr>
        <w:t>Väi</w:t>
      </w:r>
      <w:r w:rsidR="00AE1015">
        <w:rPr>
          <w:sz w:val="24"/>
          <w:szCs w:val="24"/>
        </w:rPr>
        <w:t>te: yrityksen P/E-luku oli 18,3.</w:t>
      </w:r>
    </w:p>
    <w:p w:rsidR="00077A10" w:rsidRDefault="00CA4654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Tehtävän 40 yhtiön P/B-luku oli </w:t>
      </w:r>
      <w:r w:rsidR="00AE1015">
        <w:rPr>
          <w:sz w:val="24"/>
          <w:szCs w:val="24"/>
        </w:rPr>
        <w:t>välillä 1,5 – 1,6</w:t>
      </w:r>
      <w:r>
        <w:rPr>
          <w:sz w:val="24"/>
          <w:szCs w:val="24"/>
        </w:rPr>
        <w:t>.</w:t>
      </w:r>
    </w:p>
    <w:p w:rsidR="00CA4654" w:rsidRDefault="00CA4654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Tehtävän 40 yhtiön efektiivinen osinkotuotto oli </w:t>
      </w:r>
      <w:r w:rsidR="00AE1015">
        <w:rPr>
          <w:sz w:val="24"/>
          <w:szCs w:val="24"/>
        </w:rPr>
        <w:t>3,5%.</w:t>
      </w:r>
    </w:p>
    <w:p w:rsidR="00CA4654" w:rsidRDefault="00412DE6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Leasingtapauksessa </w:t>
      </w:r>
      <w:r w:rsidR="00E84305">
        <w:rPr>
          <w:sz w:val="24"/>
          <w:szCs w:val="24"/>
        </w:rPr>
        <w:t xml:space="preserve">sekä vuokralle antaja että vuokralle ottaja </w:t>
      </w:r>
      <w:r w:rsidR="00615F35">
        <w:rPr>
          <w:sz w:val="24"/>
          <w:szCs w:val="24"/>
        </w:rPr>
        <w:t>tekevät arvonlisäverovähennyksen</w:t>
      </w:r>
      <w:r w:rsidR="00E84305">
        <w:rPr>
          <w:sz w:val="24"/>
          <w:szCs w:val="24"/>
        </w:rPr>
        <w:t xml:space="preserve"> leasingvuokrien kertymisen tahdissa.</w:t>
      </w:r>
    </w:p>
    <w:p w:rsidR="00EE0FAE" w:rsidRDefault="00E84305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Julkisen osakeyhtiön oma pääoma laski alle puoleen osakepääomasta. Väite: Osakeyhtiön hallituksen tulee tehdä merkintä kaupparekisteriin oman pääoman määrän laskusta ja kutsua kokoon ylimääräinen yhtiökokous päättämään toiminnan saneeraamisesta.</w:t>
      </w:r>
    </w:p>
    <w:p w:rsidR="00BF31B0" w:rsidRDefault="00BF31B0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Suunnitelmapoistopakko </w:t>
      </w:r>
      <w:r w:rsidR="00412DE6">
        <w:rPr>
          <w:sz w:val="24"/>
          <w:szCs w:val="24"/>
        </w:rPr>
        <w:t xml:space="preserve">ei koske </w:t>
      </w:r>
      <w:r w:rsidR="00E84305">
        <w:rPr>
          <w:sz w:val="24"/>
          <w:szCs w:val="24"/>
        </w:rPr>
        <w:t>toiminimiä eikä</w:t>
      </w:r>
      <w:r w:rsidR="00412DE6">
        <w:rPr>
          <w:sz w:val="24"/>
          <w:szCs w:val="24"/>
        </w:rPr>
        <w:t xml:space="preserve"> asunto-osakeyhtiöitä.</w:t>
      </w:r>
    </w:p>
    <w:p w:rsidR="00BF31B0" w:rsidRDefault="00CC6D64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Tavallisen osakeyhtiön minimiosakepääoma on 8000 euroa.</w:t>
      </w:r>
    </w:p>
    <w:p w:rsidR="00235389" w:rsidRDefault="00CC6D64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Tytäryhtiö sai emoyhtiöltään</w:t>
      </w:r>
      <w:r w:rsidR="00235389">
        <w:rPr>
          <w:sz w:val="24"/>
          <w:szCs w:val="24"/>
        </w:rPr>
        <w:t xml:space="preserve"> konserniavustuksena 5 miljoonaa euroa. Väite: </w:t>
      </w:r>
      <w:r>
        <w:rPr>
          <w:sz w:val="24"/>
          <w:szCs w:val="24"/>
        </w:rPr>
        <w:t>Saatu</w:t>
      </w:r>
      <w:r w:rsidR="00412DE6">
        <w:rPr>
          <w:sz w:val="24"/>
          <w:szCs w:val="24"/>
        </w:rPr>
        <w:t xml:space="preserve"> konserniavustus esitetään tuloslaskelmassa muuna rahoitus</w:t>
      </w:r>
      <w:r>
        <w:rPr>
          <w:sz w:val="24"/>
          <w:szCs w:val="24"/>
        </w:rPr>
        <w:t>tuottona</w:t>
      </w:r>
      <w:r w:rsidR="00412DE6">
        <w:rPr>
          <w:sz w:val="24"/>
          <w:szCs w:val="24"/>
        </w:rPr>
        <w:t>.</w:t>
      </w:r>
    </w:p>
    <w:p w:rsidR="00235389" w:rsidRDefault="00F94349" w:rsidP="007D3F12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Yrityksen tuotantorakennus tuhoutui tulipalossa</w:t>
      </w:r>
      <w:r w:rsidR="00941A24">
        <w:rPr>
          <w:sz w:val="24"/>
          <w:szCs w:val="24"/>
        </w:rPr>
        <w:t xml:space="preserve"> tilikauden alussa</w:t>
      </w:r>
      <w:r>
        <w:rPr>
          <w:sz w:val="24"/>
          <w:szCs w:val="24"/>
        </w:rPr>
        <w:t>. Rakennuksen tasearvo oli 2,5 M€ ja saatu vakuutuskorvaus 3,1 M€.</w:t>
      </w:r>
      <w:r w:rsidR="00E052DC">
        <w:rPr>
          <w:sz w:val="24"/>
          <w:szCs w:val="24"/>
        </w:rPr>
        <w:t xml:space="preserve"> </w:t>
      </w:r>
      <w:r w:rsidR="00811DDC">
        <w:rPr>
          <w:sz w:val="24"/>
          <w:szCs w:val="24"/>
        </w:rPr>
        <w:t xml:space="preserve">Väite: </w:t>
      </w:r>
      <w:r w:rsidR="00E052DC">
        <w:rPr>
          <w:sz w:val="24"/>
          <w:szCs w:val="24"/>
        </w:rPr>
        <w:t xml:space="preserve">Em. </w:t>
      </w:r>
      <w:r>
        <w:rPr>
          <w:sz w:val="24"/>
          <w:szCs w:val="24"/>
        </w:rPr>
        <w:t>vakuutuskorvaus aiheuttaa tuloslaskelmaan veronalaisen ”myyntivoiton” 0,6 M€,</w:t>
      </w:r>
      <w:r w:rsidR="00811DDC">
        <w:rPr>
          <w:sz w:val="24"/>
          <w:szCs w:val="24"/>
        </w:rPr>
        <w:t xml:space="preserve"> mutta </w:t>
      </w:r>
      <w:r>
        <w:rPr>
          <w:sz w:val="24"/>
          <w:szCs w:val="24"/>
        </w:rPr>
        <w:t xml:space="preserve">myyntivoiton </w:t>
      </w:r>
      <w:r w:rsidR="00811DDC">
        <w:rPr>
          <w:sz w:val="24"/>
          <w:szCs w:val="24"/>
        </w:rPr>
        <w:t xml:space="preserve">verotus </w:t>
      </w:r>
      <w:r>
        <w:rPr>
          <w:sz w:val="24"/>
          <w:szCs w:val="24"/>
        </w:rPr>
        <w:t xml:space="preserve">palovuonna </w:t>
      </w:r>
      <w:r w:rsidR="00811DDC">
        <w:rPr>
          <w:sz w:val="24"/>
          <w:szCs w:val="24"/>
        </w:rPr>
        <w:t>voidaan välttää tekemällä käyttöomaisuuden jälleenhankintavaraus.</w:t>
      </w:r>
    </w:p>
    <w:p w:rsidR="002C205D" w:rsidRDefault="002C205D" w:rsidP="002C205D">
      <w:pPr>
        <w:pStyle w:val="Luettelokappale"/>
        <w:rPr>
          <w:sz w:val="24"/>
          <w:szCs w:val="24"/>
        </w:rPr>
      </w:pPr>
    </w:p>
    <w:p w:rsidR="00DD6DFF" w:rsidRPr="00DD6DFF" w:rsidRDefault="00DD6DFF" w:rsidP="00DD6DFF">
      <w:pPr>
        <w:ind w:left="360"/>
        <w:rPr>
          <w:sz w:val="24"/>
          <w:szCs w:val="24"/>
        </w:rPr>
      </w:pPr>
    </w:p>
    <w:p w:rsidR="00842E06" w:rsidRDefault="00842E0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70A1" w:rsidRDefault="007070A1">
      <w:pPr>
        <w:spacing w:after="200" w:line="276" w:lineRule="auto"/>
        <w:rPr>
          <w:rFonts w:ascii="Arial" w:hAnsi="Arial" w:cs="Arial"/>
          <w:sz w:val="24"/>
          <w:szCs w:val="24"/>
          <w:lang w:eastAsia="ar-SA"/>
        </w:rPr>
      </w:pPr>
    </w:p>
    <w:p w:rsidR="007070A1" w:rsidRPr="007070A1" w:rsidRDefault="007070A1" w:rsidP="007070A1">
      <w:pPr>
        <w:rPr>
          <w:sz w:val="24"/>
          <w:szCs w:val="24"/>
        </w:rPr>
      </w:pPr>
      <w:r w:rsidRPr="007070A1">
        <w:rPr>
          <w:sz w:val="24"/>
          <w:szCs w:val="24"/>
        </w:rPr>
        <w:t xml:space="preserve">Liite: </w:t>
      </w:r>
    </w:p>
    <w:tbl>
      <w:tblPr>
        <w:tblW w:w="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0"/>
        <w:gridCol w:w="960"/>
        <w:gridCol w:w="960"/>
      </w:tblGrid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8E013C" w:rsidP="00707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Juv</w:t>
            </w:r>
            <w:r w:rsidR="00121FAB">
              <w:rPr>
                <w:rFonts w:ascii="Arial" w:hAnsi="Arial" w:cs="Arial"/>
              </w:rPr>
              <w:t>iKa</w:t>
            </w:r>
            <w:r w:rsidR="007070A1" w:rsidRPr="007070A1">
              <w:rPr>
                <w:rFonts w:ascii="Arial" w:hAnsi="Arial" w:cs="Arial"/>
              </w:rPr>
              <w:t xml:space="preserve"> Oy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  <w:b/>
              </w:rPr>
            </w:pPr>
            <w:r w:rsidRPr="007070A1">
              <w:rPr>
                <w:rFonts w:ascii="Arial" w:hAnsi="Arial" w:cs="Arial"/>
                <w:b/>
              </w:rPr>
              <w:t>Tuloslaskelma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center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vuosi 2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center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vuosi 1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Liikevaihto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F71CF8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1</w:t>
            </w:r>
            <w:r w:rsidR="00F71CF8">
              <w:rPr>
                <w:rFonts w:ascii="Arial" w:hAnsi="Arial" w:cs="Arial"/>
              </w:rPr>
              <w:t>1</w:t>
            </w:r>
            <w:r w:rsidR="00C854C7">
              <w:rPr>
                <w:rFonts w:ascii="Arial" w:hAnsi="Arial" w:cs="Arial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1178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Muut tuotot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5E6A92" w:rsidP="007070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5E6A92" w:rsidP="007070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Ostot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5E6A92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-5</w:t>
            </w:r>
            <w:r w:rsidR="005E6A92">
              <w:rPr>
                <w:rFonts w:ascii="Arial" w:hAnsi="Arial" w:cs="Arial"/>
              </w:rPr>
              <w:t>3</w:t>
            </w:r>
            <w:r w:rsidRPr="007070A1"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-561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Varaston muutos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F71CF8" w:rsidP="007070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38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Henkilöstökulut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E1023F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-</w:t>
            </w:r>
            <w:r w:rsidR="00F71CF8">
              <w:rPr>
                <w:rFonts w:ascii="Arial" w:hAnsi="Arial" w:cs="Arial"/>
              </w:rPr>
              <w:t>3</w:t>
            </w:r>
            <w:r w:rsidR="00E1023F">
              <w:rPr>
                <w:rFonts w:ascii="Arial" w:hAnsi="Arial" w:cs="Arial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E1023F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-3</w:t>
            </w:r>
            <w:r w:rsidR="00E1023F">
              <w:rPr>
                <w:rFonts w:ascii="Arial" w:hAnsi="Arial" w:cs="Arial"/>
              </w:rPr>
              <w:t>69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Poistot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E1023F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-</w:t>
            </w:r>
            <w:r w:rsidR="00E1023F">
              <w:rPr>
                <w:rFonts w:ascii="Arial" w:hAnsi="Arial" w:cs="Arial"/>
              </w:rPr>
              <w:t>8</w:t>
            </w:r>
            <w:r w:rsidR="00F71CF8"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E1023F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-1</w:t>
            </w:r>
            <w:r w:rsidR="00E1023F">
              <w:rPr>
                <w:rFonts w:ascii="Arial" w:hAnsi="Arial" w:cs="Arial"/>
              </w:rPr>
              <w:t>0</w:t>
            </w:r>
            <w:r w:rsidRPr="007070A1">
              <w:rPr>
                <w:rFonts w:ascii="Arial" w:hAnsi="Arial" w:cs="Arial"/>
              </w:rPr>
              <w:t>2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Muut kulut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F71CF8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-</w:t>
            </w:r>
            <w:r w:rsidR="00F71CF8">
              <w:rPr>
                <w:rFonts w:ascii="Arial" w:hAnsi="Arial" w:cs="Arial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-65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Liikevoitto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566569" w:rsidP="00121F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1FAB">
              <w:rPr>
                <w:rFonts w:ascii="Arial" w:hAnsi="Arial" w:cs="Arial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121FAB" w:rsidP="007070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Rahoituskulut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0D4742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-2</w:t>
            </w:r>
            <w:r w:rsidR="000D4742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-22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Poistoeron muutos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5E6A92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-</w:t>
            </w:r>
            <w:r w:rsidR="005E6A92">
              <w:rPr>
                <w:rFonts w:ascii="Arial" w:hAnsi="Arial" w:cs="Arial"/>
              </w:rPr>
              <w:t>3</w:t>
            </w:r>
            <w:r w:rsidR="000D4742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5E6A92" w:rsidP="000D47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</w:t>
            </w:r>
          </w:p>
        </w:tc>
      </w:tr>
      <w:tr w:rsidR="00F71CF8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F71CF8" w:rsidRPr="007070A1" w:rsidRDefault="00F71CF8" w:rsidP="00707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Verot</w:t>
            </w:r>
          </w:p>
        </w:tc>
        <w:tc>
          <w:tcPr>
            <w:tcW w:w="960" w:type="dxa"/>
            <w:shd w:val="clear" w:color="auto" w:fill="auto"/>
            <w:noWrap/>
          </w:tcPr>
          <w:p w:rsidR="00F71CF8" w:rsidRPr="007070A1" w:rsidRDefault="000D4742" w:rsidP="005E6A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E6A92">
              <w:rPr>
                <w:rFonts w:ascii="Arial" w:hAnsi="Arial" w:cs="Arial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:rsidR="00F71CF8" w:rsidRPr="007070A1" w:rsidRDefault="000D4742" w:rsidP="005E6A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E6A92">
              <w:rPr>
                <w:rFonts w:ascii="Arial" w:hAnsi="Arial" w:cs="Arial"/>
              </w:rPr>
              <w:t>20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Tilikauden tulos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5E6A92" w:rsidP="008321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5E6A92" w:rsidP="005E6A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  <w:b/>
              </w:rPr>
            </w:pPr>
            <w:r w:rsidRPr="007070A1">
              <w:rPr>
                <w:rFonts w:ascii="Arial" w:hAnsi="Arial" w:cs="Arial"/>
                <w:b/>
              </w:rPr>
              <w:t>Tase, vastaavaa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Koneet ja kalusto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D12750" w:rsidP="007070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4742">
              <w:rPr>
                <w:rFonts w:ascii="Arial" w:hAnsi="Arial" w:cs="Arial"/>
              </w:rPr>
              <w:t>6</w:t>
            </w:r>
            <w:r w:rsidR="007070A1" w:rsidRPr="007070A1"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D12750" w:rsidP="007070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70A1" w:rsidRPr="007070A1">
              <w:rPr>
                <w:rFonts w:ascii="Arial" w:hAnsi="Arial" w:cs="Arial"/>
              </w:rPr>
              <w:t>26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Varastot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0D4742" w:rsidP="007070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82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Myyntisaamiset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0D4742" w:rsidP="00121F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E6A92">
              <w:rPr>
                <w:rFonts w:ascii="Arial" w:hAnsi="Arial" w:cs="Arial"/>
              </w:rPr>
              <w:t>5</w:t>
            </w:r>
            <w:r w:rsidR="00121FAB">
              <w:rPr>
                <w:rFonts w:ascii="Arial" w:hAnsi="Arial" w:cs="Aria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165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Siirtosaamiset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6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Pankkitili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5E6A92" w:rsidP="00121F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21FAB"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38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Yhteensä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0D4742" w:rsidP="007070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617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  <w:b/>
              </w:rPr>
            </w:pPr>
            <w:r w:rsidRPr="007070A1">
              <w:rPr>
                <w:rFonts w:ascii="Arial" w:hAnsi="Arial" w:cs="Arial"/>
                <w:b/>
              </w:rPr>
              <w:t>Tase, vastattavaa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Osakepääoma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50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Ed. tilikausien voitot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5E6A92" w:rsidP="008321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5E6A92" w:rsidP="00121F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Tilikauden tulos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5E6A92" w:rsidP="008321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5E6A92" w:rsidP="007070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Kertynyt poistoero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5E6A92" w:rsidP="007070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070A1" w:rsidRPr="007070A1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5E6A92" w:rsidP="007070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70A1" w:rsidRPr="007070A1">
              <w:rPr>
                <w:rFonts w:ascii="Arial" w:hAnsi="Arial" w:cs="Arial"/>
              </w:rPr>
              <w:t>3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Takuuvaraukset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0D4742" w:rsidP="007070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0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Pitkäaikaiset pankkilainat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D12750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1</w:t>
            </w:r>
            <w:r w:rsidR="00D12750">
              <w:rPr>
                <w:rFonts w:ascii="Arial" w:hAnsi="Arial" w:cs="Arial"/>
              </w:rPr>
              <w:t>7</w:t>
            </w:r>
            <w:r w:rsidR="008321C4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202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Lyhytaikaiset pankkilainat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566569" w:rsidP="00121F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1FAB">
              <w:rPr>
                <w:rFonts w:ascii="Arial" w:hAnsi="Arial" w:cs="Arial"/>
              </w:rPr>
              <w:t>0</w:t>
            </w:r>
            <w:r w:rsidR="000D4742"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110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Ostovelat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0D4742" w:rsidP="007070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47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Siirtovelat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31</w:t>
            </w:r>
          </w:p>
        </w:tc>
      </w:tr>
      <w:tr w:rsidR="007070A1" w:rsidRPr="007070A1" w:rsidTr="00CA7BDB">
        <w:trPr>
          <w:trHeight w:val="255"/>
        </w:trPr>
        <w:tc>
          <w:tcPr>
            <w:tcW w:w="2500" w:type="dxa"/>
            <w:shd w:val="clear" w:color="auto" w:fill="auto"/>
            <w:noWrap/>
          </w:tcPr>
          <w:p w:rsidR="007070A1" w:rsidRPr="007070A1" w:rsidRDefault="007070A1" w:rsidP="007070A1">
            <w:pPr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Yhteensä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0D4742" w:rsidP="007070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</w:t>
            </w:r>
          </w:p>
        </w:tc>
        <w:tc>
          <w:tcPr>
            <w:tcW w:w="960" w:type="dxa"/>
            <w:shd w:val="clear" w:color="auto" w:fill="auto"/>
            <w:noWrap/>
          </w:tcPr>
          <w:p w:rsidR="007070A1" w:rsidRPr="007070A1" w:rsidRDefault="007070A1" w:rsidP="007070A1">
            <w:pPr>
              <w:jc w:val="right"/>
              <w:rPr>
                <w:rFonts w:ascii="Arial" w:hAnsi="Arial" w:cs="Arial"/>
              </w:rPr>
            </w:pPr>
            <w:r w:rsidRPr="007070A1">
              <w:rPr>
                <w:rFonts w:ascii="Arial" w:hAnsi="Arial" w:cs="Arial"/>
              </w:rPr>
              <w:t>617</w:t>
            </w:r>
          </w:p>
        </w:tc>
      </w:tr>
    </w:tbl>
    <w:p w:rsidR="007070A1" w:rsidRPr="007070A1" w:rsidRDefault="007070A1" w:rsidP="007070A1">
      <w:pPr>
        <w:rPr>
          <w:sz w:val="24"/>
          <w:szCs w:val="24"/>
        </w:rPr>
      </w:pPr>
    </w:p>
    <w:p w:rsidR="007070A1" w:rsidRPr="00743927" w:rsidRDefault="007070A1" w:rsidP="00842E06">
      <w:pPr>
        <w:rPr>
          <w:sz w:val="24"/>
          <w:szCs w:val="24"/>
        </w:rPr>
      </w:pPr>
    </w:p>
    <w:sectPr w:rsidR="007070A1" w:rsidRPr="007439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43F"/>
    <w:multiLevelType w:val="hybridMultilevel"/>
    <w:tmpl w:val="0CA806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212D3"/>
    <w:multiLevelType w:val="hybridMultilevel"/>
    <w:tmpl w:val="C5EEB2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B5734"/>
    <w:multiLevelType w:val="hybridMultilevel"/>
    <w:tmpl w:val="5F0478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27"/>
    <w:rsid w:val="00007737"/>
    <w:rsid w:val="00077A10"/>
    <w:rsid w:val="0009623A"/>
    <w:rsid w:val="000A47A1"/>
    <w:rsid w:val="000B68BC"/>
    <w:rsid w:val="000D4742"/>
    <w:rsid w:val="000E6B84"/>
    <w:rsid w:val="000F780C"/>
    <w:rsid w:val="00121FAB"/>
    <w:rsid w:val="00124F77"/>
    <w:rsid w:val="00143AE2"/>
    <w:rsid w:val="00161C21"/>
    <w:rsid w:val="0018320A"/>
    <w:rsid w:val="001871B8"/>
    <w:rsid w:val="00190078"/>
    <w:rsid w:val="001916C3"/>
    <w:rsid w:val="00191740"/>
    <w:rsid w:val="0019321E"/>
    <w:rsid w:val="001D2A05"/>
    <w:rsid w:val="001E4A94"/>
    <w:rsid w:val="00235389"/>
    <w:rsid w:val="00243950"/>
    <w:rsid w:val="00251A77"/>
    <w:rsid w:val="0027646A"/>
    <w:rsid w:val="002A0E41"/>
    <w:rsid w:val="002C205D"/>
    <w:rsid w:val="002C2379"/>
    <w:rsid w:val="002C6745"/>
    <w:rsid w:val="002E6F14"/>
    <w:rsid w:val="00324F82"/>
    <w:rsid w:val="00332AFF"/>
    <w:rsid w:val="003A3902"/>
    <w:rsid w:val="003A563C"/>
    <w:rsid w:val="003B271C"/>
    <w:rsid w:val="003B7146"/>
    <w:rsid w:val="003E537C"/>
    <w:rsid w:val="00412DE6"/>
    <w:rsid w:val="00421CA9"/>
    <w:rsid w:val="00451DD1"/>
    <w:rsid w:val="004671D8"/>
    <w:rsid w:val="00495A69"/>
    <w:rsid w:val="004C35A3"/>
    <w:rsid w:val="004E387C"/>
    <w:rsid w:val="004F20E2"/>
    <w:rsid w:val="00543446"/>
    <w:rsid w:val="005578CF"/>
    <w:rsid w:val="00566569"/>
    <w:rsid w:val="00591441"/>
    <w:rsid w:val="005A789F"/>
    <w:rsid w:val="005C0BC5"/>
    <w:rsid w:val="005D24E1"/>
    <w:rsid w:val="005E6A92"/>
    <w:rsid w:val="00615F35"/>
    <w:rsid w:val="00630F62"/>
    <w:rsid w:val="00655101"/>
    <w:rsid w:val="00666203"/>
    <w:rsid w:val="006A6A30"/>
    <w:rsid w:val="006B2021"/>
    <w:rsid w:val="006B5388"/>
    <w:rsid w:val="006C71D9"/>
    <w:rsid w:val="007070A1"/>
    <w:rsid w:val="00743927"/>
    <w:rsid w:val="00747B52"/>
    <w:rsid w:val="0076546F"/>
    <w:rsid w:val="007960A4"/>
    <w:rsid w:val="007B3457"/>
    <w:rsid w:val="007D3F12"/>
    <w:rsid w:val="007E1FB9"/>
    <w:rsid w:val="007E346A"/>
    <w:rsid w:val="007F45CF"/>
    <w:rsid w:val="00811DDC"/>
    <w:rsid w:val="008321C4"/>
    <w:rsid w:val="00835B41"/>
    <w:rsid w:val="00842492"/>
    <w:rsid w:val="00842E06"/>
    <w:rsid w:val="0086728B"/>
    <w:rsid w:val="008A41C7"/>
    <w:rsid w:val="008E013C"/>
    <w:rsid w:val="0090217F"/>
    <w:rsid w:val="009149FF"/>
    <w:rsid w:val="00941A24"/>
    <w:rsid w:val="009552CD"/>
    <w:rsid w:val="009629B6"/>
    <w:rsid w:val="00967BCA"/>
    <w:rsid w:val="00975B60"/>
    <w:rsid w:val="009911F3"/>
    <w:rsid w:val="009A3EEB"/>
    <w:rsid w:val="009D2E16"/>
    <w:rsid w:val="009F20A3"/>
    <w:rsid w:val="009F7FCB"/>
    <w:rsid w:val="00A03E86"/>
    <w:rsid w:val="00A212D5"/>
    <w:rsid w:val="00A249C0"/>
    <w:rsid w:val="00A71F75"/>
    <w:rsid w:val="00A90941"/>
    <w:rsid w:val="00AA45FE"/>
    <w:rsid w:val="00AC3D24"/>
    <w:rsid w:val="00AD1F6A"/>
    <w:rsid w:val="00AE1015"/>
    <w:rsid w:val="00B52BE7"/>
    <w:rsid w:val="00B9681F"/>
    <w:rsid w:val="00BC0203"/>
    <w:rsid w:val="00BE1496"/>
    <w:rsid w:val="00BE61FC"/>
    <w:rsid w:val="00BF004D"/>
    <w:rsid w:val="00BF31B0"/>
    <w:rsid w:val="00C039F3"/>
    <w:rsid w:val="00C0453F"/>
    <w:rsid w:val="00C04549"/>
    <w:rsid w:val="00C22513"/>
    <w:rsid w:val="00C37E15"/>
    <w:rsid w:val="00C53EB4"/>
    <w:rsid w:val="00C702F9"/>
    <w:rsid w:val="00C854C7"/>
    <w:rsid w:val="00C95CF7"/>
    <w:rsid w:val="00CA0D69"/>
    <w:rsid w:val="00CA4654"/>
    <w:rsid w:val="00CC6D64"/>
    <w:rsid w:val="00CD0888"/>
    <w:rsid w:val="00CD4028"/>
    <w:rsid w:val="00CE24FE"/>
    <w:rsid w:val="00CE26D7"/>
    <w:rsid w:val="00CF7EE8"/>
    <w:rsid w:val="00D12750"/>
    <w:rsid w:val="00D2252F"/>
    <w:rsid w:val="00D30B29"/>
    <w:rsid w:val="00D44F5E"/>
    <w:rsid w:val="00DC31CE"/>
    <w:rsid w:val="00DD6DFF"/>
    <w:rsid w:val="00DF08FE"/>
    <w:rsid w:val="00DF2D48"/>
    <w:rsid w:val="00E052DC"/>
    <w:rsid w:val="00E1023F"/>
    <w:rsid w:val="00E142D7"/>
    <w:rsid w:val="00E27C36"/>
    <w:rsid w:val="00E533BB"/>
    <w:rsid w:val="00E6028C"/>
    <w:rsid w:val="00E650FB"/>
    <w:rsid w:val="00E84305"/>
    <w:rsid w:val="00EB101D"/>
    <w:rsid w:val="00ED0AF9"/>
    <w:rsid w:val="00ED245D"/>
    <w:rsid w:val="00EE0FAE"/>
    <w:rsid w:val="00EE3FEF"/>
    <w:rsid w:val="00EF0237"/>
    <w:rsid w:val="00EF67E8"/>
    <w:rsid w:val="00F24E9C"/>
    <w:rsid w:val="00F53997"/>
    <w:rsid w:val="00F57532"/>
    <w:rsid w:val="00F630C8"/>
    <w:rsid w:val="00F71CF8"/>
    <w:rsid w:val="00F93C2A"/>
    <w:rsid w:val="00F94349"/>
    <w:rsid w:val="00FA0CEC"/>
    <w:rsid w:val="00FB7BE3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4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">
    <w:name w:val="Body Text Indent"/>
    <w:basedOn w:val="Normaali"/>
    <w:link w:val="SisennettyleiptekstiChar"/>
    <w:semiHidden/>
    <w:rsid w:val="007D3F12"/>
    <w:pPr>
      <w:tabs>
        <w:tab w:val="left" w:pos="2268"/>
      </w:tabs>
      <w:autoSpaceDE w:val="0"/>
      <w:autoSpaceDN w:val="0"/>
      <w:ind w:left="2258" w:hanging="960"/>
    </w:pPr>
    <w:rPr>
      <w:rFonts w:ascii="Times" w:hAnsi="Times" w:cs="Times"/>
      <w:sz w:val="24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D3F12"/>
    <w:rPr>
      <w:rFonts w:ascii="Times" w:eastAsia="Times New Roman" w:hAnsi="Times" w:cs="Times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55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4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">
    <w:name w:val="Body Text Indent"/>
    <w:basedOn w:val="Normaali"/>
    <w:link w:val="SisennettyleiptekstiChar"/>
    <w:semiHidden/>
    <w:rsid w:val="007D3F12"/>
    <w:pPr>
      <w:tabs>
        <w:tab w:val="left" w:pos="2268"/>
      </w:tabs>
      <w:autoSpaceDE w:val="0"/>
      <w:autoSpaceDN w:val="0"/>
      <w:ind w:left="2258" w:hanging="960"/>
    </w:pPr>
    <w:rPr>
      <w:rFonts w:ascii="Times" w:hAnsi="Times" w:cs="Times"/>
      <w:sz w:val="24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D3F12"/>
    <w:rPr>
      <w:rFonts w:ascii="Times" w:eastAsia="Times New Roman" w:hAnsi="Times" w:cs="Times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5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9727</Characters>
  <Application>Microsoft Office Word</Application>
  <DocSecurity>0</DocSecurity>
  <Lines>81</Lines>
  <Paragraphs>21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Viljaranta</dc:creator>
  <cp:lastModifiedBy>Juha Viljaranta</cp:lastModifiedBy>
  <cp:revision>3</cp:revision>
  <dcterms:created xsi:type="dcterms:W3CDTF">2021-08-24T11:54:00Z</dcterms:created>
  <dcterms:modified xsi:type="dcterms:W3CDTF">2021-08-25T06:27:00Z</dcterms:modified>
</cp:coreProperties>
</file>