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21" w:rsidRDefault="00BC7F19" w:rsidP="00BC7F19">
      <w:pPr>
        <w:pStyle w:val="Title"/>
        <w:rPr>
          <w:lang w:val="en-US"/>
        </w:rPr>
      </w:pPr>
      <w:r w:rsidRPr="00BC7F19">
        <w:rPr>
          <w:lang w:val="en-US"/>
        </w:rPr>
        <w:t xml:space="preserve">Why </w:t>
      </w:r>
      <w:proofErr w:type="spellStart"/>
      <w:r w:rsidRPr="00BC7F19">
        <w:rPr>
          <w:lang w:val="en-US"/>
        </w:rPr>
        <w:t>Hotelling</w:t>
      </w:r>
      <w:proofErr w:type="spellEnd"/>
      <w:r w:rsidRPr="00BC7F19">
        <w:rPr>
          <w:lang w:val="en-US"/>
        </w:rPr>
        <w:t xml:space="preserve"> rule </w:t>
      </w:r>
      <w:r>
        <w:rPr>
          <w:lang w:val="en-US"/>
        </w:rPr>
        <w:t>“fails”</w:t>
      </w:r>
      <w:r w:rsidRPr="00BC7F19">
        <w:rPr>
          <w:lang w:val="en-US"/>
        </w:rPr>
        <w:t xml:space="preserve"> in </w:t>
      </w:r>
      <w:proofErr w:type="gramStart"/>
      <w:r w:rsidRPr="00BC7F19">
        <w:rPr>
          <w:lang w:val="en-US"/>
        </w:rPr>
        <w:t>Ex</w:t>
      </w:r>
      <w:proofErr w:type="gramEnd"/>
      <w:r w:rsidRPr="00BC7F19">
        <w:rPr>
          <w:lang w:val="en-US"/>
        </w:rPr>
        <w:t xml:space="preserve"> </w:t>
      </w:r>
      <w:r w:rsidR="00D842CD">
        <w:rPr>
          <w:lang w:val="en-US"/>
        </w:rPr>
        <w:t>2-3</w:t>
      </w:r>
    </w:p>
    <w:p w:rsidR="00C45AD0" w:rsidRDefault="00E57E53" w:rsidP="00BC7F19">
      <w:pPr>
        <w:rPr>
          <w:lang w:val="en-US"/>
        </w:rPr>
      </w:pPr>
      <w:r>
        <w:rPr>
          <w:lang w:val="en-US"/>
        </w:rPr>
        <w:t xml:space="preserve">In this report we will study why the </w:t>
      </w:r>
      <w:proofErr w:type="spellStart"/>
      <w:r>
        <w:rPr>
          <w:lang w:val="en-US"/>
        </w:rPr>
        <w:t>Hotelling</w:t>
      </w:r>
      <w:proofErr w:type="spellEnd"/>
      <w:r>
        <w:rPr>
          <w:lang w:val="en-US"/>
        </w:rPr>
        <w:t xml:space="preserve"> rule “fails” to maximize the net present value of a nonrenewable </w:t>
      </w:r>
      <w:r w:rsidR="00C45AD0">
        <w:rPr>
          <w:lang w:val="en-US"/>
        </w:rPr>
        <w:t xml:space="preserve">resource stock in Exercise </w:t>
      </w:r>
      <w:r w:rsidR="00D842CD">
        <w:rPr>
          <w:lang w:val="en-US"/>
        </w:rPr>
        <w:t>2</w:t>
      </w:r>
      <w:r w:rsidR="00C45AD0">
        <w:rPr>
          <w:lang w:val="en-US"/>
        </w:rPr>
        <w:t>-3.</w:t>
      </w:r>
      <w:r w:rsidR="000647D0">
        <w:rPr>
          <w:lang w:val="en-US"/>
        </w:rPr>
        <w:t xml:space="preserve"> </w:t>
      </w:r>
      <w:r w:rsidR="000647D0" w:rsidRPr="000647D0">
        <w:rPr>
          <w:b/>
          <w:lang w:val="en-US"/>
        </w:rPr>
        <w:t>Note that some values are different here than in the most recent version of the exercise.</w:t>
      </w:r>
    </w:p>
    <w:p w:rsidR="00C45AD0" w:rsidRDefault="00BC7F19" w:rsidP="00BC7F19">
      <w:pPr>
        <w:rPr>
          <w:lang w:val="en-US"/>
        </w:rPr>
      </w:pPr>
      <w:r>
        <w:rPr>
          <w:lang w:val="en-US"/>
        </w:rPr>
        <w:t xml:space="preserve">For simplicity, we assume </w:t>
      </w:r>
      <w:r w:rsidRPr="00E57E53">
        <w:rPr>
          <w:u w:val="single"/>
          <w:lang w:val="en-US"/>
        </w:rPr>
        <w:t>zero cost</w:t>
      </w:r>
      <w:r>
        <w:rPr>
          <w:lang w:val="en-US"/>
        </w:rPr>
        <w:t xml:space="preserve"> for exploiting the resource. This means that, if the unit price of the resource is 100 </w:t>
      </w:r>
      <w:r w:rsidR="0055117D">
        <w:rPr>
          <w:lang w:val="en-US"/>
        </w:rPr>
        <w:t>EUR</w:t>
      </w:r>
      <w:r>
        <w:rPr>
          <w:lang w:val="en-US"/>
        </w:rPr>
        <w:t xml:space="preserve">, the profit per unit for the proprietor is also 100 </w:t>
      </w:r>
      <w:r w:rsidR="0055117D">
        <w:rPr>
          <w:lang w:val="en-US"/>
        </w:rPr>
        <w:t>EUR</w:t>
      </w:r>
      <w:r>
        <w:rPr>
          <w:lang w:val="en-US"/>
        </w:rPr>
        <w:t>.</w:t>
      </w:r>
      <w:r w:rsidR="00E57E53">
        <w:rPr>
          <w:lang w:val="en-US"/>
        </w:rPr>
        <w:t xml:space="preserve"> Unlike in the home exercise where the time resolution is one year, here the time resolution is one day.</w:t>
      </w:r>
    </w:p>
    <w:p w:rsidR="00BC7F19" w:rsidRDefault="00E57E53" w:rsidP="00BC7F19">
      <w:pPr>
        <w:rPr>
          <w:lang w:val="en-US"/>
        </w:rPr>
      </w:pPr>
      <w:r>
        <w:rPr>
          <w:lang w:val="en-US"/>
        </w:rPr>
        <w:t xml:space="preserve">We will compare the </w:t>
      </w:r>
      <w:proofErr w:type="spellStart"/>
      <w:r>
        <w:rPr>
          <w:lang w:val="en-US"/>
        </w:rPr>
        <w:t>Hotelling</w:t>
      </w:r>
      <w:proofErr w:type="spellEnd"/>
      <w:r>
        <w:rPr>
          <w:lang w:val="en-US"/>
        </w:rPr>
        <w:t xml:space="preserve"> rule strategy against a pricing strategy of constant </w:t>
      </w:r>
      <w:proofErr w:type="spellStart"/>
      <w:r>
        <w:rPr>
          <w:lang w:val="en-US"/>
        </w:rPr>
        <w:t>percentual</w:t>
      </w:r>
      <w:proofErr w:type="spellEnd"/>
      <w:r>
        <w:rPr>
          <w:lang w:val="en-US"/>
        </w:rPr>
        <w:t xml:space="preserve"> growth given by two </w:t>
      </w:r>
      <w:r w:rsidRPr="00E57E53">
        <w:rPr>
          <w:i/>
          <w:lang w:val="en-US"/>
        </w:rPr>
        <w:t>strategy parameters</w:t>
      </w:r>
      <w:r>
        <w:rPr>
          <w:lang w:val="en-US"/>
        </w:rPr>
        <w:t>:</w:t>
      </w:r>
    </w:p>
    <w:p w:rsidR="00BC7F19" w:rsidRDefault="00BC7F19" w:rsidP="00BC7F19">
      <w:pPr>
        <w:pStyle w:val="ListParagraph"/>
        <w:numPr>
          <w:ilvl w:val="0"/>
          <w:numId w:val="1"/>
        </w:numPr>
        <w:rPr>
          <w:lang w:val="en-US"/>
        </w:rPr>
      </w:pPr>
      <w:r>
        <w:rPr>
          <w:lang w:val="en-US"/>
        </w:rPr>
        <w:t>initial price</w:t>
      </w:r>
    </w:p>
    <w:p w:rsidR="00BC7F19" w:rsidRPr="00BC7F19" w:rsidRDefault="00BC7F19" w:rsidP="00BC7F19">
      <w:pPr>
        <w:pStyle w:val="ListParagraph"/>
        <w:numPr>
          <w:ilvl w:val="0"/>
          <w:numId w:val="1"/>
        </w:numPr>
        <w:rPr>
          <w:lang w:val="en-US"/>
        </w:rPr>
      </w:pPr>
      <w:proofErr w:type="gramStart"/>
      <w:r>
        <w:rPr>
          <w:lang w:val="en-US"/>
        </w:rPr>
        <w:t>annual</w:t>
      </w:r>
      <w:proofErr w:type="gramEnd"/>
      <w:r>
        <w:rPr>
          <w:lang w:val="en-US"/>
        </w:rPr>
        <w:t xml:space="preserve"> price increase</w:t>
      </w:r>
      <w:r w:rsidR="00E57E53">
        <w:rPr>
          <w:lang w:val="en-US"/>
        </w:rPr>
        <w:t xml:space="preserve"> factor (factor 1.1 refers to annual </w:t>
      </w:r>
      <w:proofErr w:type="spellStart"/>
      <w:r w:rsidR="00E57E53">
        <w:rPr>
          <w:lang w:val="en-US"/>
        </w:rPr>
        <w:t>percentual</w:t>
      </w:r>
      <w:proofErr w:type="spellEnd"/>
      <w:r w:rsidR="00E57E53">
        <w:rPr>
          <w:lang w:val="en-US"/>
        </w:rPr>
        <w:t xml:space="preserve"> growth of 10%)</w:t>
      </w:r>
    </w:p>
    <w:p w:rsidR="00BC7F19" w:rsidRDefault="00BC7F19" w:rsidP="00BC7F19">
      <w:pPr>
        <w:pStyle w:val="Heading1"/>
        <w:rPr>
          <w:lang w:val="en-US"/>
        </w:rPr>
      </w:pPr>
      <w:r>
        <w:rPr>
          <w:lang w:val="en-US"/>
        </w:rPr>
        <w:t>Interest rate zero</w:t>
      </w:r>
    </w:p>
    <w:p w:rsidR="00BC7F19" w:rsidRDefault="00BC7F19" w:rsidP="00BC7F19">
      <w:pPr>
        <w:rPr>
          <w:lang w:val="en-US"/>
        </w:rPr>
      </w:pPr>
      <w:r>
        <w:rPr>
          <w:lang w:val="en-US"/>
        </w:rPr>
        <w:t xml:space="preserve">Let’s start with the simplest case, where the interest rate is 0%. This means that the value of 100 </w:t>
      </w:r>
      <w:r w:rsidR="0055117D">
        <w:rPr>
          <w:lang w:val="en-US"/>
        </w:rPr>
        <w:t>EUR</w:t>
      </w:r>
      <w:r>
        <w:rPr>
          <w:lang w:val="en-US"/>
        </w:rPr>
        <w:t xml:space="preserve"> </w:t>
      </w:r>
      <w:proofErr w:type="gramStart"/>
      <w:r w:rsidR="00E57E53">
        <w:rPr>
          <w:lang w:val="en-US"/>
        </w:rPr>
        <w:t xml:space="preserve">earned </w:t>
      </w:r>
      <w:r>
        <w:rPr>
          <w:lang w:val="en-US"/>
        </w:rPr>
        <w:t xml:space="preserve"> one</w:t>
      </w:r>
      <w:proofErr w:type="gramEnd"/>
      <w:r>
        <w:rPr>
          <w:lang w:val="en-US"/>
        </w:rPr>
        <w:t xml:space="preserve"> year from now is exactly the same as the value of 100 </w:t>
      </w:r>
      <w:r w:rsidR="0055117D">
        <w:rPr>
          <w:lang w:val="en-US"/>
        </w:rPr>
        <w:t>EUR</w:t>
      </w:r>
      <w:r>
        <w:rPr>
          <w:lang w:val="en-US"/>
        </w:rPr>
        <w:t xml:space="preserve"> earned right now.</w:t>
      </w:r>
    </w:p>
    <w:p w:rsidR="00AF43E7" w:rsidRDefault="00AF43E7" w:rsidP="00BC7F19">
      <w:pPr>
        <w:rPr>
          <w:lang w:val="en-US"/>
        </w:rPr>
      </w:pPr>
      <w:r>
        <w:rPr>
          <w:lang w:val="en-US"/>
        </w:rPr>
        <w:t>Belo</w:t>
      </w:r>
      <w:r w:rsidR="00E57E53">
        <w:rPr>
          <w:lang w:val="en-US"/>
        </w:rPr>
        <w:t>w</w:t>
      </w:r>
      <w:r>
        <w:rPr>
          <w:lang w:val="en-US"/>
        </w:rPr>
        <w:t xml:space="preserve"> is plotted the net present value of the resource as a function of strategy parameters. The optimal pricing strategy is </w:t>
      </w:r>
      <w:r w:rsidRPr="00AF43E7">
        <w:rPr>
          <w:b/>
          <w:i/>
          <w:color w:val="4F81BD" w:themeColor="accent1"/>
          <w:lang w:val="en-US"/>
        </w:rPr>
        <w:t>83</w:t>
      </w:r>
      <w:r w:rsidR="0096372B">
        <w:rPr>
          <w:rFonts w:cstheme="minorHAnsi"/>
          <w:b/>
          <w:i/>
          <w:color w:val="4F81BD" w:themeColor="accent1"/>
          <w:lang w:val="en-US"/>
        </w:rPr>
        <w:t>±</w:t>
      </w:r>
      <w:r w:rsidR="0096372B">
        <w:rPr>
          <w:b/>
          <w:i/>
          <w:color w:val="4F81BD" w:themeColor="accent1"/>
          <w:lang w:val="en-US"/>
        </w:rPr>
        <w:t>1</w:t>
      </w:r>
      <w:r w:rsidRPr="00AF43E7">
        <w:rPr>
          <w:b/>
          <w:i/>
          <w:color w:val="4F81BD" w:themeColor="accent1"/>
          <w:lang w:val="en-US"/>
        </w:rPr>
        <w:t xml:space="preserve"> initial price and 0</w:t>
      </w:r>
      <w:r w:rsidR="0096372B">
        <w:rPr>
          <w:rFonts w:cstheme="minorHAnsi"/>
          <w:b/>
          <w:i/>
          <w:color w:val="4F81BD" w:themeColor="accent1"/>
          <w:lang w:val="en-US"/>
        </w:rPr>
        <w:t>±</w:t>
      </w:r>
      <w:r w:rsidR="0096372B">
        <w:rPr>
          <w:b/>
          <w:i/>
          <w:color w:val="4F81BD" w:themeColor="accent1"/>
          <w:lang w:val="en-US"/>
        </w:rPr>
        <w:t>1</w:t>
      </w:r>
      <w:r w:rsidRPr="00AF43E7">
        <w:rPr>
          <w:b/>
          <w:i/>
          <w:color w:val="4F81BD" w:themeColor="accent1"/>
          <w:lang w:val="en-US"/>
        </w:rPr>
        <w:t>% annual increase</w:t>
      </w:r>
      <w:r>
        <w:rPr>
          <w:lang w:val="en-US"/>
        </w:rPr>
        <w:t>.</w:t>
      </w:r>
    </w:p>
    <w:p w:rsidR="00AF43E7" w:rsidRDefault="00AF43E7" w:rsidP="00AF43E7">
      <w:pPr>
        <w:jc w:val="center"/>
        <w:rPr>
          <w:lang w:val="en-US"/>
        </w:rPr>
      </w:pPr>
      <w:r>
        <w:rPr>
          <w:noProof/>
          <w:lang w:eastAsia="fi-FI"/>
        </w:rPr>
        <w:drawing>
          <wp:inline distT="0" distB="0" distL="0" distR="0">
            <wp:extent cx="3340268" cy="2632463"/>
            <wp:effectExtent l="19050" t="0" r="0" b="0"/>
            <wp:docPr id="2" name="Picture 1" descr="interes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est0.png"/>
                    <pic:cNvPicPr/>
                  </pic:nvPicPr>
                  <pic:blipFill>
                    <a:blip r:embed="rId5" cstate="print"/>
                    <a:srcRect l="4556" t="5816" r="6035"/>
                    <a:stretch>
                      <a:fillRect/>
                    </a:stretch>
                  </pic:blipFill>
                  <pic:spPr>
                    <a:xfrm>
                      <a:off x="0" y="0"/>
                      <a:ext cx="3340268" cy="2632463"/>
                    </a:xfrm>
                    <a:prstGeom prst="rect">
                      <a:avLst/>
                    </a:prstGeom>
                  </pic:spPr>
                </pic:pic>
              </a:graphicData>
            </a:graphic>
          </wp:inline>
        </w:drawing>
      </w:r>
    </w:p>
    <w:p w:rsidR="00AF43E7" w:rsidRDefault="00AF43E7" w:rsidP="00AF43E7">
      <w:pPr>
        <w:rPr>
          <w:lang w:val="en-US"/>
        </w:rPr>
      </w:pPr>
      <w:r>
        <w:rPr>
          <w:lang w:val="en-US"/>
        </w:rPr>
        <w:t xml:space="preserve">According to </w:t>
      </w:r>
      <w:proofErr w:type="spellStart"/>
      <w:r>
        <w:rPr>
          <w:lang w:val="en-US"/>
        </w:rPr>
        <w:t>Hotelling</w:t>
      </w:r>
      <w:proofErr w:type="spellEnd"/>
      <w:r>
        <w:rPr>
          <w:lang w:val="en-US"/>
        </w:rPr>
        <w:t xml:space="preserve"> rule, the annual increase should be 0%, equal to the interest rate. So far so good. What happens if the interest rate is nonzero?</w:t>
      </w:r>
    </w:p>
    <w:p w:rsidR="00BC7F19" w:rsidRDefault="00BC7F19" w:rsidP="00BC7F19">
      <w:pPr>
        <w:pStyle w:val="Heading1"/>
        <w:rPr>
          <w:lang w:val="en-US"/>
        </w:rPr>
      </w:pPr>
      <w:r>
        <w:rPr>
          <w:lang w:val="en-US"/>
        </w:rPr>
        <w:t>Interest rate nonzero</w:t>
      </w:r>
    </w:p>
    <w:p w:rsidR="00BC7F19" w:rsidRDefault="00BC7F19" w:rsidP="00BC7F19">
      <w:pPr>
        <w:rPr>
          <w:lang w:val="en-US"/>
        </w:rPr>
      </w:pPr>
      <w:r>
        <w:rPr>
          <w:lang w:val="en-US"/>
        </w:rPr>
        <w:t xml:space="preserve">Let’s increase the interest rate to 10%. This means that 100 </w:t>
      </w:r>
      <w:r w:rsidR="0055117D">
        <w:rPr>
          <w:lang w:val="en-US"/>
        </w:rPr>
        <w:t>EUR</w:t>
      </w:r>
      <w:r>
        <w:rPr>
          <w:lang w:val="en-US"/>
        </w:rPr>
        <w:t xml:space="preserve"> earned right now is 10% more valuable than 100 </w:t>
      </w:r>
      <w:r w:rsidR="0055117D">
        <w:rPr>
          <w:lang w:val="en-US"/>
        </w:rPr>
        <w:t>EUR</w:t>
      </w:r>
      <w:r>
        <w:rPr>
          <w:lang w:val="en-US"/>
        </w:rPr>
        <w:t xml:space="preserve"> ea</w:t>
      </w:r>
      <w:bookmarkStart w:id="0" w:name="_GoBack"/>
      <w:bookmarkEnd w:id="0"/>
      <w:r>
        <w:rPr>
          <w:lang w:val="en-US"/>
        </w:rPr>
        <w:t>rned one year from now.</w:t>
      </w:r>
    </w:p>
    <w:p w:rsidR="00BC7F19" w:rsidRDefault="00BC7F19" w:rsidP="00BC7F19">
      <w:pPr>
        <w:rPr>
          <w:lang w:val="en-US"/>
        </w:rPr>
      </w:pPr>
      <w:r w:rsidRPr="00BC7F19">
        <w:rPr>
          <w:lang w:val="en-US"/>
        </w:rPr>
        <w:lastRenderedPageBreak/>
        <w:t xml:space="preserve">Below is plotted the </w:t>
      </w:r>
      <w:r>
        <w:rPr>
          <w:lang w:val="en-US"/>
        </w:rPr>
        <w:t>net present value of the resource again as a function of strategy parameters</w:t>
      </w:r>
      <w:r w:rsidRPr="00BC7F19">
        <w:rPr>
          <w:lang w:val="en-US"/>
        </w:rPr>
        <w:t xml:space="preserve">. The optimal </w:t>
      </w:r>
      <w:r>
        <w:rPr>
          <w:lang w:val="en-US"/>
        </w:rPr>
        <w:t>pricing strategy</w:t>
      </w:r>
      <w:r w:rsidRPr="00BC7F19">
        <w:rPr>
          <w:lang w:val="en-US"/>
        </w:rPr>
        <w:t xml:space="preserve"> is </w:t>
      </w:r>
      <w:r w:rsidRPr="00BC7F19">
        <w:rPr>
          <w:b/>
          <w:i/>
          <w:color w:val="4F81BD" w:themeColor="accent1"/>
          <w:lang w:val="en-US"/>
        </w:rPr>
        <w:t>71</w:t>
      </w:r>
      <w:r w:rsidR="004D3593">
        <w:rPr>
          <w:rFonts w:cstheme="minorHAnsi"/>
          <w:b/>
          <w:i/>
          <w:color w:val="4F81BD" w:themeColor="accent1"/>
          <w:lang w:val="en-US"/>
        </w:rPr>
        <w:t>±</w:t>
      </w:r>
      <w:r w:rsidR="004D3593">
        <w:rPr>
          <w:b/>
          <w:i/>
          <w:color w:val="4F81BD" w:themeColor="accent1"/>
          <w:lang w:val="en-US"/>
        </w:rPr>
        <w:t>1</w:t>
      </w:r>
      <w:r w:rsidRPr="00BC7F19">
        <w:rPr>
          <w:b/>
          <w:i/>
          <w:color w:val="4F81BD" w:themeColor="accent1"/>
          <w:lang w:val="en-US"/>
        </w:rPr>
        <w:t xml:space="preserve"> initial price and 3</w:t>
      </w:r>
      <w:r w:rsidR="004D3593">
        <w:rPr>
          <w:rFonts w:cstheme="minorHAnsi"/>
          <w:b/>
          <w:i/>
          <w:color w:val="4F81BD" w:themeColor="accent1"/>
          <w:lang w:val="en-US"/>
        </w:rPr>
        <w:t>±</w:t>
      </w:r>
      <w:r w:rsidR="004D3593">
        <w:rPr>
          <w:b/>
          <w:i/>
          <w:color w:val="4F81BD" w:themeColor="accent1"/>
          <w:lang w:val="en-US"/>
        </w:rPr>
        <w:t>1</w:t>
      </w:r>
      <w:r w:rsidRPr="00BC7F19">
        <w:rPr>
          <w:b/>
          <w:i/>
          <w:color w:val="4F81BD" w:themeColor="accent1"/>
          <w:lang w:val="en-US"/>
        </w:rPr>
        <w:t>% annual increase</w:t>
      </w:r>
      <w:r w:rsidRPr="00BC7F19">
        <w:rPr>
          <w:lang w:val="en-US"/>
        </w:rPr>
        <w:t>.</w:t>
      </w:r>
    </w:p>
    <w:p w:rsidR="00BC7F19" w:rsidRDefault="00BC7F19" w:rsidP="00BC7F19">
      <w:pPr>
        <w:jc w:val="center"/>
      </w:pPr>
      <w:r>
        <w:rPr>
          <w:noProof/>
          <w:lang w:eastAsia="fi-FI"/>
        </w:rPr>
        <w:drawing>
          <wp:inline distT="0" distB="0" distL="0" distR="0">
            <wp:extent cx="3311389" cy="2644039"/>
            <wp:effectExtent l="19050" t="0" r="3311" b="0"/>
            <wp:docPr id="1" name="Picture 0" descr="interest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est10.png"/>
                    <pic:cNvPicPr/>
                  </pic:nvPicPr>
                  <pic:blipFill>
                    <a:blip r:embed="rId6" cstate="print"/>
                    <a:srcRect l="4696" t="5618" r="6668"/>
                    <a:stretch>
                      <a:fillRect/>
                    </a:stretch>
                  </pic:blipFill>
                  <pic:spPr>
                    <a:xfrm>
                      <a:off x="0" y="0"/>
                      <a:ext cx="3311389" cy="2644039"/>
                    </a:xfrm>
                    <a:prstGeom prst="rect">
                      <a:avLst/>
                    </a:prstGeom>
                  </pic:spPr>
                </pic:pic>
              </a:graphicData>
            </a:graphic>
          </wp:inline>
        </w:drawing>
      </w:r>
    </w:p>
    <w:p w:rsidR="00BC7F19" w:rsidRDefault="00BC7F19" w:rsidP="00BC7F19">
      <w:pPr>
        <w:rPr>
          <w:lang w:val="en-US"/>
        </w:rPr>
      </w:pPr>
      <w:r w:rsidRPr="004D3593">
        <w:rPr>
          <w:b/>
          <w:i/>
          <w:color w:val="FF0000"/>
          <w:lang w:val="en-US"/>
        </w:rPr>
        <w:t>The optimal annual increase is 3</w:t>
      </w:r>
      <w:r w:rsidR="0096372B">
        <w:rPr>
          <w:rFonts w:cstheme="minorHAnsi"/>
          <w:b/>
          <w:i/>
          <w:color w:val="FF0000"/>
          <w:lang w:val="en-US"/>
        </w:rPr>
        <w:t>±</w:t>
      </w:r>
      <w:r w:rsidR="0096372B">
        <w:rPr>
          <w:b/>
          <w:i/>
          <w:color w:val="FF0000"/>
          <w:lang w:val="en-US"/>
        </w:rPr>
        <w:t>1</w:t>
      </w:r>
      <w:r w:rsidRPr="004D3593">
        <w:rPr>
          <w:b/>
          <w:i/>
          <w:color w:val="FF0000"/>
          <w:lang w:val="en-US"/>
        </w:rPr>
        <w:t>%, while the interest rate is 10%</w:t>
      </w:r>
      <w:r>
        <w:rPr>
          <w:lang w:val="en-US"/>
        </w:rPr>
        <w:t xml:space="preserve">. Why does </w:t>
      </w:r>
      <w:proofErr w:type="spellStart"/>
      <w:r>
        <w:rPr>
          <w:lang w:val="en-US"/>
        </w:rPr>
        <w:t>Hotelling</w:t>
      </w:r>
      <w:proofErr w:type="spellEnd"/>
      <w:r>
        <w:rPr>
          <w:lang w:val="en-US"/>
        </w:rPr>
        <w:t xml:space="preserve"> rule fail, or does it?</w:t>
      </w:r>
    </w:p>
    <w:p w:rsidR="00AF43E7" w:rsidRDefault="00AF43E7" w:rsidP="00AF43E7">
      <w:pPr>
        <w:pStyle w:val="Heading2"/>
        <w:rPr>
          <w:lang w:val="en-US"/>
        </w:rPr>
      </w:pPr>
      <w:r>
        <w:rPr>
          <w:lang w:val="en-US"/>
        </w:rPr>
        <w:t>What went wrong</w:t>
      </w:r>
    </w:p>
    <w:p w:rsidR="00AF43E7" w:rsidRDefault="00AF43E7" w:rsidP="00AF43E7">
      <w:pPr>
        <w:rPr>
          <w:lang w:val="en-US"/>
        </w:rPr>
      </w:pPr>
      <w:r>
        <w:rPr>
          <w:lang w:val="en-US"/>
        </w:rPr>
        <w:t>The demand function we are currently using is</w:t>
      </w:r>
    </w:p>
    <w:p w:rsidR="00AF43E7" w:rsidRDefault="00F85565" w:rsidP="00AF43E7">
      <w:pPr>
        <w:rPr>
          <w:rFonts w:eastAsiaTheme="minorEastAsia"/>
          <w:lang w:val="en-US"/>
        </w:rPr>
      </w:pPr>
      <m:oMathPara>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max</m:t>
              </m:r>
            </m:fName>
            <m:e>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100-</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num>
                    <m:den>
                      <m:r>
                        <w:rPr>
                          <w:rFonts w:ascii="Cambria Math" w:hAnsi="Cambria Math"/>
                          <w:lang w:val="en-US"/>
                        </w:rPr>
                        <m:t>365</m:t>
                      </m:r>
                    </m:den>
                  </m:f>
                  <m:r>
                    <w:rPr>
                      <w:rFonts w:ascii="Cambria Math" w:hAnsi="Cambria Math"/>
                      <w:lang w:val="en-US"/>
                    </w:rPr>
                    <m:t>, 0</m:t>
                  </m:r>
                </m:e>
              </m:d>
            </m:e>
          </m:func>
        </m:oMath>
      </m:oMathPara>
    </w:p>
    <w:p w:rsidR="00661B76" w:rsidRDefault="00AF43E7" w:rsidP="0055117D">
      <w:pPr>
        <w:rPr>
          <w:rFonts w:eastAsiaTheme="minorEastAsia"/>
          <w:lang w:val="en-US"/>
        </w:rPr>
      </w:pPr>
      <w:r>
        <w:rPr>
          <w:lang w:val="en-US"/>
        </w:rPr>
        <w:t xml:space="preserve">We see that, when </w:t>
      </w:r>
      <w:proofErr w:type="gramStart"/>
      <w:r>
        <w:rPr>
          <w:lang w:val="en-US"/>
        </w:rPr>
        <w:t xml:space="preserve">the </w:t>
      </w:r>
      <w:proofErr w:type="gramEnd"/>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r>
          <w:rPr>
            <w:rFonts w:ascii="Cambria Math" w:hAnsi="Cambria Math"/>
            <w:lang w:val="en-US"/>
          </w:rPr>
          <m:t>=100</m:t>
        </m:r>
      </m:oMath>
      <w:r>
        <w:rPr>
          <w:rFonts w:eastAsiaTheme="minorEastAsia"/>
          <w:lang w:val="en-US"/>
        </w:rPr>
        <w:t xml:space="preserve">, the demand </w:t>
      </w:r>
      <m:oMath>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t</m:t>
            </m:r>
          </m:sub>
        </m:sSub>
      </m:oMath>
      <w:r>
        <w:rPr>
          <w:rFonts w:eastAsiaTheme="minorEastAsia"/>
          <w:lang w:val="en-US"/>
        </w:rPr>
        <w:t xml:space="preserve"> </w:t>
      </w:r>
      <w:r w:rsidR="0055117D">
        <w:rPr>
          <w:rFonts w:eastAsiaTheme="minorEastAsia"/>
          <w:lang w:val="en-US"/>
        </w:rPr>
        <w:t>is</w:t>
      </w:r>
      <w:r>
        <w:rPr>
          <w:rFonts w:eastAsiaTheme="minorEastAsia"/>
          <w:lang w:val="en-US"/>
        </w:rPr>
        <w:t xml:space="preserve"> zero.</w:t>
      </w:r>
      <w:r w:rsidR="0055117D">
        <w:rPr>
          <w:rFonts w:eastAsiaTheme="minorEastAsia"/>
          <w:lang w:val="en-US"/>
        </w:rPr>
        <w:t xml:space="preserve"> This is the highest price the customers are willing to pay for our resource</w:t>
      </w:r>
      <w:r w:rsidR="00C83B2B">
        <w:rPr>
          <w:rFonts w:eastAsiaTheme="minorEastAsia"/>
          <w:lang w:val="en-US"/>
        </w:rPr>
        <w:t xml:space="preserve">, let’s call it the </w:t>
      </w:r>
      <w:r w:rsidR="00C83B2B">
        <w:rPr>
          <w:rFonts w:eastAsiaTheme="minorEastAsia"/>
          <w:i/>
          <w:lang w:val="en-US"/>
        </w:rPr>
        <w:t>choke price</w:t>
      </w:r>
      <w:r w:rsidR="0055117D">
        <w:rPr>
          <w:rFonts w:eastAsiaTheme="minorEastAsia"/>
          <w:lang w:val="en-US"/>
        </w:rPr>
        <w:t xml:space="preserve">. However, due to the interest rate, 100 EUR today does not have the same value as 100 EUR one year from now. The present value of 100 EUR earned one year from now </w:t>
      </w:r>
      <w:proofErr w:type="gramStart"/>
      <w:r w:rsidR="0055117D">
        <w:rPr>
          <w:rFonts w:eastAsiaTheme="minorEastAsia"/>
          <w:lang w:val="en-US"/>
        </w:rPr>
        <w:t>is</w:t>
      </w:r>
      <w:r w:rsidR="00661B76">
        <w:rPr>
          <w:rFonts w:eastAsiaTheme="minorEastAsia"/>
          <w:lang w:val="en-US"/>
        </w:rPr>
        <w:t xml:space="preserve"> </w:t>
      </w:r>
      <w:proofErr w:type="gramEnd"/>
      <m:oMath>
        <m:f>
          <m:fPr>
            <m:type m:val="lin"/>
            <m:ctrlPr>
              <w:rPr>
                <w:rFonts w:ascii="Cambria Math" w:hAnsi="Cambria Math"/>
                <w:i/>
                <w:lang w:val="en-US"/>
              </w:rPr>
            </m:ctrlPr>
          </m:fPr>
          <m:num>
            <m:r>
              <w:rPr>
                <w:rFonts w:ascii="Cambria Math" w:hAnsi="Cambria Math"/>
                <w:lang w:val="en-US"/>
              </w:rPr>
              <m:t xml:space="preserve">100 </m:t>
            </m:r>
            <m:r>
              <m:rPr>
                <m:sty m:val="p"/>
              </m:rPr>
              <w:rPr>
                <w:rFonts w:ascii="Cambria Math" w:hAnsi="Cambria Math"/>
                <w:lang w:val="en-US"/>
              </w:rPr>
              <m:t>EUR</m:t>
            </m:r>
          </m:num>
          <m:den>
            <m:d>
              <m:dPr>
                <m:ctrlPr>
                  <w:rPr>
                    <w:rFonts w:ascii="Cambria Math" w:hAnsi="Cambria Math"/>
                    <w:i/>
                    <w:lang w:val="en-US"/>
                  </w:rPr>
                </m:ctrlPr>
              </m:dPr>
              <m:e>
                <m:r>
                  <w:rPr>
                    <w:rFonts w:ascii="Cambria Math" w:hAnsi="Cambria Math"/>
                    <w:lang w:val="en-US"/>
                  </w:rPr>
                  <m:t>1+10%</m:t>
                </m:r>
              </m:e>
            </m:d>
          </m:den>
        </m:f>
        <m:r>
          <w:rPr>
            <w:rFonts w:ascii="Cambria Math" w:hAnsi="Cambria Math"/>
            <w:lang w:val="en-US"/>
          </w:rPr>
          <m:t xml:space="preserve">≈90.91 </m:t>
        </m:r>
        <m:r>
          <m:rPr>
            <m:sty m:val="p"/>
          </m:rPr>
          <w:rPr>
            <w:rFonts w:ascii="Cambria Math" w:hAnsi="Cambria Math"/>
            <w:lang w:val="en-US"/>
          </w:rPr>
          <m:t>EUR</m:t>
        </m:r>
      </m:oMath>
      <w:r w:rsidR="00661B76">
        <w:rPr>
          <w:rFonts w:eastAsiaTheme="minorEastAsia"/>
          <w:lang w:val="en-US"/>
        </w:rPr>
        <w:t xml:space="preserve">. </w:t>
      </w:r>
      <w:r w:rsidR="0055117D">
        <w:rPr>
          <w:lang w:val="en-US"/>
        </w:rPr>
        <w:t xml:space="preserve">On the other hand, the amount of money </w:t>
      </w:r>
      <w:r w:rsidR="00661B76">
        <w:rPr>
          <w:lang w:val="en-US"/>
        </w:rPr>
        <w:t xml:space="preserve">earned </w:t>
      </w:r>
      <w:r w:rsidR="0055117D">
        <w:rPr>
          <w:lang w:val="en-US"/>
        </w:rPr>
        <w:t>one year from now that has</w:t>
      </w:r>
      <w:r w:rsidR="00661B76">
        <w:rPr>
          <w:lang w:val="en-US"/>
        </w:rPr>
        <w:t xml:space="preserve"> the present value of 100 EUR </w:t>
      </w:r>
      <w:proofErr w:type="gramStart"/>
      <w:r w:rsidR="00661B76">
        <w:rPr>
          <w:lang w:val="en-US"/>
        </w:rPr>
        <w:t xml:space="preserve">is </w:t>
      </w:r>
      <w:proofErr w:type="gramEnd"/>
      <m:oMath>
        <m:r>
          <w:rPr>
            <w:rFonts w:ascii="Cambria Math" w:hAnsi="Cambria Math"/>
            <w:lang w:val="en-US"/>
          </w:rPr>
          <m:t xml:space="preserve">100 </m:t>
        </m:r>
        <m:r>
          <m:rPr>
            <m:sty m:val="p"/>
          </m:rPr>
          <w:rPr>
            <w:rFonts w:ascii="Cambria Math" w:hAnsi="Cambria Math"/>
            <w:lang w:val="en-US"/>
          </w:rPr>
          <m:t>EUR</m:t>
        </m:r>
        <m:r>
          <w:rPr>
            <w:rFonts w:ascii="Cambria Math" w:hAnsi="Cambria Math"/>
            <w:lang w:val="en-US"/>
          </w:rPr>
          <m:t>∙</m:t>
        </m:r>
        <m:d>
          <m:dPr>
            <m:ctrlPr>
              <w:rPr>
                <w:rFonts w:ascii="Cambria Math" w:hAnsi="Cambria Math"/>
                <w:i/>
                <w:lang w:val="en-US"/>
              </w:rPr>
            </m:ctrlPr>
          </m:dPr>
          <m:e>
            <m:r>
              <w:rPr>
                <w:rFonts w:ascii="Cambria Math" w:hAnsi="Cambria Math"/>
                <w:lang w:val="en-US"/>
              </w:rPr>
              <m:t>1+10%</m:t>
            </m:r>
          </m:e>
        </m:d>
        <m:r>
          <w:rPr>
            <w:rFonts w:ascii="Cambria Math" w:hAnsi="Cambria Math"/>
            <w:lang w:val="en-US"/>
          </w:rPr>
          <m:t xml:space="preserve">= 110 </m:t>
        </m:r>
        <m:r>
          <m:rPr>
            <m:sty m:val="p"/>
          </m:rPr>
          <w:rPr>
            <w:rFonts w:ascii="Cambria Math" w:hAnsi="Cambria Math"/>
            <w:lang w:val="en-US"/>
          </w:rPr>
          <m:t>EUR</m:t>
        </m:r>
      </m:oMath>
      <w:r w:rsidR="00661B76">
        <w:rPr>
          <w:rFonts w:eastAsiaTheme="minorEastAsia"/>
          <w:lang w:val="en-US"/>
        </w:rPr>
        <w:t>.</w:t>
      </w:r>
    </w:p>
    <w:p w:rsidR="00661B76" w:rsidRPr="00661B76" w:rsidRDefault="00661B76" w:rsidP="00661B76">
      <w:pPr>
        <w:rPr>
          <w:lang w:val="en-US"/>
        </w:rPr>
      </w:pPr>
      <w:r w:rsidRPr="00661B76">
        <w:rPr>
          <w:u w:val="single"/>
          <w:lang w:val="en-US"/>
        </w:rPr>
        <w:t>Hypothesis:</w:t>
      </w:r>
      <w:r>
        <w:rPr>
          <w:lang w:val="en-US"/>
        </w:rPr>
        <w:t xml:space="preserve"> The demand function should incorporate the interest rate.</w:t>
      </w:r>
    </w:p>
    <w:p w:rsidR="00661B76" w:rsidRPr="00661B76" w:rsidRDefault="00661B76" w:rsidP="00661B76">
      <w:pPr>
        <w:rPr>
          <w:lang w:val="en-US"/>
        </w:rPr>
      </w:pPr>
      <w:r w:rsidRPr="00661B76">
        <w:rPr>
          <w:lang w:val="en-US"/>
        </w:rPr>
        <w:t>Let’s check the hypothesis by modifying the demand function.</w:t>
      </w:r>
    </w:p>
    <w:p w:rsidR="0096372B" w:rsidRDefault="0096372B" w:rsidP="0096372B">
      <w:pPr>
        <w:pStyle w:val="Heading3"/>
        <w:rPr>
          <w:rFonts w:eastAsiaTheme="minorEastAsia"/>
          <w:lang w:val="en-US"/>
        </w:rPr>
      </w:pPr>
      <w:r>
        <w:rPr>
          <w:rFonts w:eastAsiaTheme="minorEastAsia"/>
          <w:lang w:val="en-US"/>
        </w:rPr>
        <w:t>Modification 1</w:t>
      </w:r>
      <w:r w:rsidR="00C83B2B">
        <w:rPr>
          <w:rFonts w:eastAsiaTheme="minorEastAsia"/>
          <w:lang w:val="en-US"/>
        </w:rPr>
        <w:t>: Apply interest rate to choke price</w:t>
      </w:r>
    </w:p>
    <w:p w:rsidR="004D3593" w:rsidRDefault="004D3593" w:rsidP="0055117D">
      <w:pPr>
        <w:rPr>
          <w:rFonts w:eastAsiaTheme="minorEastAsia"/>
          <w:lang w:val="en-US"/>
        </w:rPr>
      </w:pPr>
      <w:r>
        <w:rPr>
          <w:rFonts w:eastAsiaTheme="minorEastAsia"/>
          <w:lang w:val="en-US"/>
        </w:rPr>
        <w:t>Let’s see what happens with the following modification:</w:t>
      </w:r>
    </w:p>
    <w:p w:rsidR="004D3593" w:rsidRDefault="00F85565" w:rsidP="0055117D">
      <w:pPr>
        <w:rPr>
          <w:rFonts w:eastAsiaTheme="minorEastAsia"/>
          <w:lang w:val="en-US"/>
        </w:rPr>
      </w:pPr>
      <m:oMathPara>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max</m:t>
              </m:r>
            </m:fName>
            <m:e>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100∙</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 xml:space="preserve"> 1+d</m:t>
                              </m:r>
                            </m:e>
                          </m:d>
                        </m:e>
                        <m:sup>
                          <m:r>
                            <w:rPr>
                              <w:rFonts w:ascii="Cambria Math" w:hAnsi="Cambria Math"/>
                              <w:lang w:val="en-US"/>
                            </w:rPr>
                            <m:t>t</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num>
                    <m:den>
                      <m:r>
                        <w:rPr>
                          <w:rFonts w:ascii="Cambria Math" w:hAnsi="Cambria Math"/>
                          <w:lang w:val="en-US"/>
                        </w:rPr>
                        <m:t>365</m:t>
                      </m:r>
                    </m:den>
                  </m:f>
                  <m:r>
                    <w:rPr>
                      <w:rFonts w:ascii="Cambria Math" w:hAnsi="Cambria Math"/>
                      <w:lang w:val="en-US"/>
                    </w:rPr>
                    <m:t>, 0</m:t>
                  </m:r>
                </m:e>
              </m:d>
            </m:e>
          </m:func>
        </m:oMath>
      </m:oMathPara>
    </w:p>
    <w:p w:rsidR="003C5D8D" w:rsidRDefault="003C5D8D" w:rsidP="003C5D8D">
      <w:pPr>
        <w:jc w:val="center"/>
        <w:rPr>
          <w:rFonts w:eastAsiaTheme="minorEastAsia"/>
          <w:lang w:val="en-US"/>
        </w:rPr>
      </w:pPr>
      <w:r>
        <w:rPr>
          <w:rFonts w:eastAsiaTheme="minorEastAsia"/>
          <w:noProof/>
          <w:lang w:eastAsia="fi-FI"/>
        </w:rPr>
        <w:lastRenderedPageBreak/>
        <w:drawing>
          <wp:inline distT="0" distB="0" distL="0" distR="0">
            <wp:extent cx="3735941" cy="2801422"/>
            <wp:effectExtent l="19050" t="0" r="0" b="0"/>
            <wp:docPr id="3" name="Picture 2" descr="interest10_mo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est10_mod1.png"/>
                    <pic:cNvPicPr/>
                  </pic:nvPicPr>
                  <pic:blipFill>
                    <a:blip r:embed="rId7" cstate="print"/>
                    <a:stretch>
                      <a:fillRect/>
                    </a:stretch>
                  </pic:blipFill>
                  <pic:spPr>
                    <a:xfrm>
                      <a:off x="0" y="0"/>
                      <a:ext cx="3735941" cy="2801422"/>
                    </a:xfrm>
                    <a:prstGeom prst="rect">
                      <a:avLst/>
                    </a:prstGeom>
                  </pic:spPr>
                </pic:pic>
              </a:graphicData>
            </a:graphic>
          </wp:inline>
        </w:drawing>
      </w:r>
    </w:p>
    <w:p w:rsidR="003C5D8D" w:rsidRDefault="003C5D8D" w:rsidP="003C5D8D">
      <w:pPr>
        <w:rPr>
          <w:rFonts w:eastAsiaTheme="minorEastAsia"/>
          <w:lang w:val="en-US"/>
        </w:rPr>
      </w:pPr>
      <w:r>
        <w:rPr>
          <w:rFonts w:eastAsiaTheme="minorEastAsia"/>
          <w:lang w:val="en-US"/>
        </w:rPr>
        <w:t xml:space="preserve">The optimal pricing strategy is </w:t>
      </w:r>
      <w:r w:rsidRPr="003C5D8D">
        <w:rPr>
          <w:rFonts w:eastAsiaTheme="minorEastAsia"/>
          <w:b/>
          <w:i/>
          <w:color w:val="4F81BD" w:themeColor="accent1"/>
          <w:lang w:val="en-US"/>
        </w:rPr>
        <w:t>85</w:t>
      </w:r>
      <w:r w:rsidRPr="003C5D8D">
        <w:rPr>
          <w:rFonts w:eastAsiaTheme="minorEastAsia" w:cstheme="minorHAnsi"/>
          <w:b/>
          <w:i/>
          <w:color w:val="4F81BD" w:themeColor="accent1"/>
          <w:lang w:val="en-US"/>
        </w:rPr>
        <w:t>±</w:t>
      </w:r>
      <w:r w:rsidRPr="003C5D8D">
        <w:rPr>
          <w:rFonts w:eastAsiaTheme="minorEastAsia"/>
          <w:b/>
          <w:i/>
          <w:color w:val="4F81BD" w:themeColor="accent1"/>
          <w:lang w:val="en-US"/>
        </w:rPr>
        <w:t>1 initial price and 11</w:t>
      </w:r>
      <w:r w:rsidRPr="003C5D8D">
        <w:rPr>
          <w:rFonts w:eastAsiaTheme="minorEastAsia" w:cstheme="minorHAnsi"/>
          <w:b/>
          <w:i/>
          <w:color w:val="4F81BD" w:themeColor="accent1"/>
          <w:lang w:val="en-US"/>
        </w:rPr>
        <w:t>±</w:t>
      </w:r>
      <w:r w:rsidRPr="003C5D8D">
        <w:rPr>
          <w:rFonts w:eastAsiaTheme="minorEastAsia"/>
          <w:b/>
          <w:i/>
          <w:color w:val="4F81BD" w:themeColor="accent1"/>
          <w:lang w:val="en-US"/>
        </w:rPr>
        <w:t>1% annual increase</w:t>
      </w:r>
      <w:r>
        <w:rPr>
          <w:rFonts w:eastAsiaTheme="minorEastAsia"/>
          <w:lang w:val="en-US"/>
        </w:rPr>
        <w:t xml:space="preserve">. This agrees with the </w:t>
      </w:r>
      <w:proofErr w:type="spellStart"/>
      <w:r>
        <w:rPr>
          <w:rFonts w:eastAsiaTheme="minorEastAsia"/>
          <w:lang w:val="en-US"/>
        </w:rPr>
        <w:t>Hotelling</w:t>
      </w:r>
      <w:proofErr w:type="spellEnd"/>
      <w:r>
        <w:rPr>
          <w:rFonts w:eastAsiaTheme="minorEastAsia"/>
          <w:lang w:val="en-US"/>
        </w:rPr>
        <w:t xml:space="preserve"> rule.</w:t>
      </w:r>
    </w:p>
    <w:p w:rsidR="0096372B" w:rsidRDefault="0096372B" w:rsidP="0096372B">
      <w:pPr>
        <w:pStyle w:val="Heading3"/>
        <w:rPr>
          <w:lang w:val="en-US"/>
        </w:rPr>
      </w:pPr>
      <w:r>
        <w:rPr>
          <w:lang w:val="en-US"/>
        </w:rPr>
        <w:t>Modification 2</w:t>
      </w:r>
      <w:r w:rsidR="00C83B2B">
        <w:rPr>
          <w:lang w:val="en-US"/>
        </w:rPr>
        <w:t>: Apply discounting to price</w:t>
      </w:r>
    </w:p>
    <w:p w:rsidR="00661B76" w:rsidRPr="00661B76" w:rsidRDefault="00661B76" w:rsidP="00661B76">
      <w:pPr>
        <w:rPr>
          <w:lang w:val="en-US"/>
        </w:rPr>
      </w:pPr>
      <w:r>
        <w:rPr>
          <w:lang w:val="en-US"/>
        </w:rPr>
        <w:t>Let’s now modify the demand function by applying discounting to the price.</w:t>
      </w:r>
    </w:p>
    <w:p w:rsidR="0096372B" w:rsidRDefault="00F85565" w:rsidP="0096372B">
      <w:pPr>
        <w:rPr>
          <w:rFonts w:eastAsiaTheme="minorEastAsia"/>
          <w:lang w:val="en-US"/>
        </w:rPr>
      </w:pPr>
      <m:oMathPara>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max</m:t>
              </m:r>
            </m:fName>
            <m:e>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100-</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1+d</m:t>
                                  </m:r>
                                </m:e>
                              </m:d>
                            </m:e>
                            <m:sup>
                              <m:r>
                                <w:rPr>
                                  <w:rFonts w:ascii="Cambria Math" w:hAnsi="Cambria Math"/>
                                  <w:lang w:val="en-US"/>
                                </w:rPr>
                                <m:t>t</m:t>
                              </m:r>
                            </m:sup>
                          </m:sSup>
                        </m:den>
                      </m:f>
                    </m:num>
                    <m:den>
                      <m:r>
                        <w:rPr>
                          <w:rFonts w:ascii="Cambria Math" w:hAnsi="Cambria Math"/>
                          <w:lang w:val="en-US"/>
                        </w:rPr>
                        <m:t>365</m:t>
                      </m:r>
                    </m:den>
                  </m:f>
                  <m:r>
                    <w:rPr>
                      <w:rFonts w:ascii="Cambria Math" w:hAnsi="Cambria Math"/>
                      <w:lang w:val="en-US"/>
                    </w:rPr>
                    <m:t>, 0</m:t>
                  </m:r>
                </m:e>
              </m:d>
            </m:e>
          </m:func>
        </m:oMath>
      </m:oMathPara>
    </w:p>
    <w:p w:rsidR="006C4225" w:rsidRDefault="006C4225" w:rsidP="006C4225">
      <w:pPr>
        <w:jc w:val="center"/>
        <w:rPr>
          <w:rFonts w:eastAsiaTheme="minorEastAsia"/>
          <w:lang w:val="en-US"/>
        </w:rPr>
      </w:pPr>
      <w:r>
        <w:rPr>
          <w:rFonts w:eastAsiaTheme="minorEastAsia"/>
          <w:noProof/>
          <w:lang w:eastAsia="fi-FI"/>
        </w:rPr>
        <w:drawing>
          <wp:inline distT="0" distB="0" distL="0" distR="0">
            <wp:extent cx="3735941" cy="2801422"/>
            <wp:effectExtent l="19050" t="0" r="0" b="0"/>
            <wp:docPr id="4" name="Picture 3" descr="interest10_mo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est10_mod2.png"/>
                    <pic:cNvPicPr/>
                  </pic:nvPicPr>
                  <pic:blipFill>
                    <a:blip r:embed="rId8" cstate="print"/>
                    <a:stretch>
                      <a:fillRect/>
                    </a:stretch>
                  </pic:blipFill>
                  <pic:spPr>
                    <a:xfrm>
                      <a:off x="0" y="0"/>
                      <a:ext cx="3735941" cy="2801422"/>
                    </a:xfrm>
                    <a:prstGeom prst="rect">
                      <a:avLst/>
                    </a:prstGeom>
                  </pic:spPr>
                </pic:pic>
              </a:graphicData>
            </a:graphic>
          </wp:inline>
        </w:drawing>
      </w:r>
    </w:p>
    <w:p w:rsidR="006C4225" w:rsidRDefault="006C4225" w:rsidP="006C4225">
      <w:pPr>
        <w:rPr>
          <w:rFonts w:eastAsiaTheme="minorEastAsia"/>
          <w:lang w:val="en-US"/>
        </w:rPr>
      </w:pPr>
      <w:r>
        <w:rPr>
          <w:rFonts w:eastAsiaTheme="minorEastAsia"/>
          <w:lang w:val="en-US"/>
        </w:rPr>
        <w:t xml:space="preserve">The optimal pricing strategy is </w:t>
      </w:r>
      <w:r w:rsidRPr="003C5D8D">
        <w:rPr>
          <w:rFonts w:eastAsiaTheme="minorEastAsia"/>
          <w:b/>
          <w:i/>
          <w:color w:val="4F81BD" w:themeColor="accent1"/>
          <w:lang w:val="en-US"/>
        </w:rPr>
        <w:t>8</w:t>
      </w:r>
      <w:r>
        <w:rPr>
          <w:rFonts w:eastAsiaTheme="minorEastAsia"/>
          <w:b/>
          <w:i/>
          <w:color w:val="4F81BD" w:themeColor="accent1"/>
          <w:lang w:val="en-US"/>
        </w:rPr>
        <w:t>3</w:t>
      </w:r>
      <w:r w:rsidRPr="003C5D8D">
        <w:rPr>
          <w:rFonts w:eastAsiaTheme="minorEastAsia" w:cstheme="minorHAnsi"/>
          <w:b/>
          <w:i/>
          <w:color w:val="4F81BD" w:themeColor="accent1"/>
          <w:lang w:val="en-US"/>
        </w:rPr>
        <w:t>±</w:t>
      </w:r>
      <w:r w:rsidRPr="003C5D8D">
        <w:rPr>
          <w:rFonts w:eastAsiaTheme="minorEastAsia"/>
          <w:b/>
          <w:i/>
          <w:color w:val="4F81BD" w:themeColor="accent1"/>
          <w:lang w:val="en-US"/>
        </w:rPr>
        <w:t>1 initial price and 1</w:t>
      </w:r>
      <w:r>
        <w:rPr>
          <w:rFonts w:eastAsiaTheme="minorEastAsia"/>
          <w:b/>
          <w:i/>
          <w:color w:val="4F81BD" w:themeColor="accent1"/>
          <w:lang w:val="en-US"/>
        </w:rPr>
        <w:t>0</w:t>
      </w:r>
      <w:r w:rsidRPr="003C5D8D">
        <w:rPr>
          <w:rFonts w:eastAsiaTheme="minorEastAsia" w:cstheme="minorHAnsi"/>
          <w:b/>
          <w:i/>
          <w:color w:val="4F81BD" w:themeColor="accent1"/>
          <w:lang w:val="en-US"/>
        </w:rPr>
        <w:t>±</w:t>
      </w:r>
      <w:r w:rsidRPr="003C5D8D">
        <w:rPr>
          <w:rFonts w:eastAsiaTheme="minorEastAsia"/>
          <w:b/>
          <w:i/>
          <w:color w:val="4F81BD" w:themeColor="accent1"/>
          <w:lang w:val="en-US"/>
        </w:rPr>
        <w:t>1% annual increase</w:t>
      </w:r>
      <w:r>
        <w:rPr>
          <w:rFonts w:eastAsiaTheme="minorEastAsia"/>
          <w:lang w:val="en-US"/>
        </w:rPr>
        <w:t xml:space="preserve">. This also agrees with the </w:t>
      </w:r>
      <w:proofErr w:type="spellStart"/>
      <w:r>
        <w:rPr>
          <w:rFonts w:eastAsiaTheme="minorEastAsia"/>
          <w:lang w:val="en-US"/>
        </w:rPr>
        <w:t>Hotelling</w:t>
      </w:r>
      <w:proofErr w:type="spellEnd"/>
      <w:r>
        <w:rPr>
          <w:rFonts w:eastAsiaTheme="minorEastAsia"/>
          <w:lang w:val="en-US"/>
        </w:rPr>
        <w:t xml:space="preserve"> rule.</w:t>
      </w:r>
    </w:p>
    <w:p w:rsidR="00F85565" w:rsidRDefault="00F85565" w:rsidP="006C4225">
      <w:pPr>
        <w:rPr>
          <w:rFonts w:eastAsiaTheme="minorEastAsia"/>
          <w:lang w:val="en-US"/>
        </w:rPr>
      </w:pPr>
    </w:p>
    <w:p w:rsidR="006C4225" w:rsidRDefault="009A7011" w:rsidP="009A7011">
      <w:pPr>
        <w:pStyle w:val="Heading3"/>
        <w:rPr>
          <w:rFonts w:eastAsiaTheme="minorEastAsia"/>
          <w:lang w:val="en-US"/>
        </w:rPr>
      </w:pPr>
      <w:r>
        <w:rPr>
          <w:rFonts w:eastAsiaTheme="minorEastAsia"/>
          <w:lang w:val="en-US"/>
        </w:rPr>
        <w:lastRenderedPageBreak/>
        <w:t xml:space="preserve">Modification </w:t>
      </w:r>
      <w:r w:rsidR="00661B76">
        <w:rPr>
          <w:rFonts w:eastAsiaTheme="minorEastAsia"/>
          <w:lang w:val="en-US"/>
        </w:rPr>
        <w:t>1+2</w:t>
      </w:r>
      <w:r>
        <w:rPr>
          <w:rFonts w:eastAsiaTheme="minorEastAsia"/>
          <w:lang w:val="en-US"/>
        </w:rPr>
        <w:t>: Apply both</w:t>
      </w:r>
    </w:p>
    <w:p w:rsidR="00FB4F01" w:rsidRPr="00FB4F01" w:rsidRDefault="00FB4F01" w:rsidP="00FB4F01">
      <w:pPr>
        <w:rPr>
          <w:lang w:val="en-US"/>
        </w:rPr>
      </w:pPr>
      <w:r>
        <w:rPr>
          <w:lang w:val="en-US"/>
        </w:rPr>
        <w:t>Out of curiosity, let’s check what happens when both modifications are active.</w:t>
      </w:r>
    </w:p>
    <w:p w:rsidR="00C83B2B" w:rsidRDefault="00F85565" w:rsidP="0096372B">
      <w:pPr>
        <w:rPr>
          <w:rFonts w:eastAsiaTheme="minorEastAsia"/>
          <w:lang w:val="en-US"/>
        </w:rPr>
      </w:pPr>
      <m:oMathPara>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max</m:t>
              </m:r>
            </m:fName>
            <m:e>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100∙</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 xml:space="preserve"> 1+d</m:t>
                              </m:r>
                            </m:e>
                          </m:d>
                        </m:e>
                        <m:sup>
                          <m:r>
                            <w:rPr>
                              <w:rFonts w:ascii="Cambria Math" w:hAnsi="Cambria Math"/>
                              <w:lang w:val="en-US"/>
                            </w:rPr>
                            <m:t>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1+d</m:t>
                                  </m:r>
                                </m:e>
                              </m:d>
                            </m:e>
                            <m:sup>
                              <m:r>
                                <w:rPr>
                                  <w:rFonts w:ascii="Cambria Math" w:hAnsi="Cambria Math"/>
                                  <w:lang w:val="en-US"/>
                                </w:rPr>
                                <m:t>t</m:t>
                              </m:r>
                            </m:sup>
                          </m:sSup>
                        </m:den>
                      </m:f>
                    </m:num>
                    <m:den>
                      <m:r>
                        <w:rPr>
                          <w:rFonts w:ascii="Cambria Math" w:hAnsi="Cambria Math"/>
                          <w:lang w:val="en-US"/>
                        </w:rPr>
                        <m:t>365</m:t>
                      </m:r>
                    </m:den>
                  </m:f>
                  <m:r>
                    <w:rPr>
                      <w:rFonts w:ascii="Cambria Math" w:hAnsi="Cambria Math"/>
                      <w:lang w:val="en-US"/>
                    </w:rPr>
                    <m:t>, 0</m:t>
                  </m:r>
                </m:e>
              </m:d>
            </m:e>
          </m:func>
        </m:oMath>
      </m:oMathPara>
    </w:p>
    <w:p w:rsidR="00FB4F01" w:rsidRDefault="00FB4F01" w:rsidP="00FB4F01">
      <w:pPr>
        <w:jc w:val="center"/>
        <w:rPr>
          <w:lang w:val="en-US"/>
        </w:rPr>
      </w:pPr>
      <w:r>
        <w:rPr>
          <w:noProof/>
          <w:lang w:eastAsia="fi-FI"/>
        </w:rPr>
        <w:drawing>
          <wp:inline distT="0" distB="0" distL="0" distR="0">
            <wp:extent cx="3735941" cy="2801422"/>
            <wp:effectExtent l="19050" t="0" r="0" b="0"/>
            <wp:docPr id="5" name="Picture 4" descr="interest10_mo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est10_mod3.png"/>
                    <pic:cNvPicPr/>
                  </pic:nvPicPr>
                  <pic:blipFill>
                    <a:blip r:embed="rId9" cstate="print"/>
                    <a:stretch>
                      <a:fillRect/>
                    </a:stretch>
                  </pic:blipFill>
                  <pic:spPr>
                    <a:xfrm>
                      <a:off x="0" y="0"/>
                      <a:ext cx="3735941" cy="2801422"/>
                    </a:xfrm>
                    <a:prstGeom prst="rect">
                      <a:avLst/>
                    </a:prstGeom>
                  </pic:spPr>
                </pic:pic>
              </a:graphicData>
            </a:graphic>
          </wp:inline>
        </w:drawing>
      </w:r>
    </w:p>
    <w:p w:rsidR="00FB4F01" w:rsidRDefault="00FB4F01" w:rsidP="00FB4F01">
      <w:pPr>
        <w:rPr>
          <w:rFonts w:eastAsiaTheme="minorEastAsia"/>
          <w:lang w:val="en-US"/>
        </w:rPr>
      </w:pPr>
      <w:r>
        <w:rPr>
          <w:rFonts w:eastAsiaTheme="minorEastAsia"/>
          <w:lang w:val="en-US"/>
        </w:rPr>
        <w:t xml:space="preserve">The optimal pricing strategy is </w:t>
      </w:r>
      <w:r w:rsidRPr="00FB4F01">
        <w:rPr>
          <w:rFonts w:eastAsiaTheme="minorEastAsia"/>
          <w:b/>
          <w:i/>
          <w:color w:val="FF0000"/>
          <w:lang w:val="en-US"/>
        </w:rPr>
        <w:t>99</w:t>
      </w:r>
      <w:r w:rsidRPr="00FB4F01">
        <w:rPr>
          <w:rFonts w:eastAsiaTheme="minorEastAsia" w:cstheme="minorHAnsi"/>
          <w:b/>
          <w:i/>
          <w:color w:val="FF0000"/>
          <w:lang w:val="en-US"/>
        </w:rPr>
        <w:t>±</w:t>
      </w:r>
      <w:r w:rsidRPr="00FB4F01">
        <w:rPr>
          <w:rFonts w:eastAsiaTheme="minorEastAsia"/>
          <w:b/>
          <w:i/>
          <w:color w:val="FF0000"/>
          <w:lang w:val="en-US"/>
        </w:rPr>
        <w:t>1 initial price and 19</w:t>
      </w:r>
      <w:r w:rsidRPr="00FB4F01">
        <w:rPr>
          <w:rFonts w:eastAsiaTheme="minorEastAsia" w:cstheme="minorHAnsi"/>
          <w:b/>
          <w:i/>
          <w:color w:val="FF0000"/>
          <w:lang w:val="en-US"/>
        </w:rPr>
        <w:t>±</w:t>
      </w:r>
      <w:r w:rsidRPr="00FB4F01">
        <w:rPr>
          <w:rFonts w:eastAsiaTheme="minorEastAsia"/>
          <w:b/>
          <w:i/>
          <w:color w:val="FF0000"/>
          <w:lang w:val="en-US"/>
        </w:rPr>
        <w:t>1% annual increase</w:t>
      </w:r>
      <w:r>
        <w:rPr>
          <w:rFonts w:eastAsiaTheme="minorEastAsia"/>
          <w:lang w:val="en-US"/>
        </w:rPr>
        <w:t xml:space="preserve">. This is in conflict with the </w:t>
      </w:r>
      <w:proofErr w:type="spellStart"/>
      <w:r>
        <w:rPr>
          <w:rFonts w:eastAsiaTheme="minorEastAsia"/>
          <w:lang w:val="en-US"/>
        </w:rPr>
        <w:t>Hotelling</w:t>
      </w:r>
      <w:proofErr w:type="spellEnd"/>
      <w:r>
        <w:rPr>
          <w:rFonts w:eastAsiaTheme="minorEastAsia"/>
          <w:lang w:val="en-US"/>
        </w:rPr>
        <w:t xml:space="preserve"> rule.</w:t>
      </w:r>
    </w:p>
    <w:p w:rsidR="00661B76" w:rsidRDefault="00661B76" w:rsidP="00661B76">
      <w:pPr>
        <w:pStyle w:val="Heading3"/>
        <w:rPr>
          <w:lang w:val="en-US"/>
        </w:rPr>
      </w:pPr>
      <w:r>
        <w:rPr>
          <w:lang w:val="en-US"/>
        </w:rPr>
        <w:t>Finding</w:t>
      </w:r>
      <w:r w:rsidR="00E57E53">
        <w:rPr>
          <w:lang w:val="en-US"/>
        </w:rPr>
        <w:t>s</w:t>
      </w:r>
    </w:p>
    <w:p w:rsidR="00661B76" w:rsidRDefault="00661B76" w:rsidP="00661B76">
      <w:pPr>
        <w:rPr>
          <w:lang w:val="en-US"/>
        </w:rPr>
      </w:pPr>
      <w:r>
        <w:rPr>
          <w:lang w:val="en-US"/>
        </w:rPr>
        <w:t xml:space="preserve">Incorporating the interest rate to the demand function using either modification 1 or modification 2 makes the optimal pricing strategy agree with the one given by the </w:t>
      </w:r>
      <w:proofErr w:type="spellStart"/>
      <w:r>
        <w:rPr>
          <w:lang w:val="en-US"/>
        </w:rPr>
        <w:t>Hotelling</w:t>
      </w:r>
      <w:proofErr w:type="spellEnd"/>
      <w:r>
        <w:rPr>
          <w:lang w:val="en-US"/>
        </w:rPr>
        <w:t xml:space="preserve"> rule. However, both modifications should not be applied at the same time.</w:t>
      </w:r>
    </w:p>
    <w:p w:rsidR="00661B76" w:rsidRDefault="00661B76" w:rsidP="00661B76">
      <w:pPr>
        <w:pStyle w:val="Heading3"/>
        <w:rPr>
          <w:lang w:val="en-US"/>
        </w:rPr>
      </w:pPr>
      <w:r>
        <w:rPr>
          <w:lang w:val="en-US"/>
        </w:rPr>
        <w:t>Conclusion</w:t>
      </w:r>
      <w:r w:rsidR="00E57E53">
        <w:rPr>
          <w:lang w:val="en-US"/>
        </w:rPr>
        <w:t>s</w:t>
      </w:r>
    </w:p>
    <w:p w:rsidR="00661B76" w:rsidRDefault="00661B76" w:rsidP="00E57E53">
      <w:pPr>
        <w:pStyle w:val="ListParagraph"/>
        <w:numPr>
          <w:ilvl w:val="0"/>
          <w:numId w:val="3"/>
        </w:numPr>
        <w:rPr>
          <w:lang w:val="en-US"/>
        </w:rPr>
      </w:pPr>
      <w:r w:rsidRPr="00E57E53">
        <w:rPr>
          <w:lang w:val="en-US"/>
        </w:rPr>
        <w:t xml:space="preserve">The hypothesis </w:t>
      </w:r>
      <w:r w:rsidR="00E57E53">
        <w:rPr>
          <w:lang w:val="en-US"/>
        </w:rPr>
        <w:t>is</w:t>
      </w:r>
      <w:r w:rsidRPr="00E57E53">
        <w:rPr>
          <w:lang w:val="en-US"/>
        </w:rPr>
        <w:t xml:space="preserve"> correct: the problem with the current demand function is that it does not incorporate the interest rate.</w:t>
      </w:r>
    </w:p>
    <w:p w:rsidR="00E57E53" w:rsidRPr="00E57E53" w:rsidRDefault="00E57E53" w:rsidP="00E57E53">
      <w:pPr>
        <w:pStyle w:val="ListParagraph"/>
        <w:numPr>
          <w:ilvl w:val="0"/>
          <w:numId w:val="3"/>
        </w:numPr>
        <w:rPr>
          <w:lang w:val="en-US"/>
        </w:rPr>
      </w:pPr>
      <w:proofErr w:type="spellStart"/>
      <w:r>
        <w:rPr>
          <w:lang w:val="en-US"/>
        </w:rPr>
        <w:t>Hotelling</w:t>
      </w:r>
      <w:proofErr w:type="spellEnd"/>
      <w:r>
        <w:rPr>
          <w:lang w:val="en-US"/>
        </w:rPr>
        <w:t xml:space="preserve"> rule is not wrong. We are attempting to use the </w:t>
      </w:r>
      <w:proofErr w:type="spellStart"/>
      <w:r>
        <w:rPr>
          <w:lang w:val="en-US"/>
        </w:rPr>
        <w:t>Hotelling</w:t>
      </w:r>
      <w:proofErr w:type="spellEnd"/>
      <w:r>
        <w:rPr>
          <w:lang w:val="en-US"/>
        </w:rPr>
        <w:t xml:space="preserve"> rule outside its scope.</w:t>
      </w:r>
    </w:p>
    <w:sectPr w:rsidR="00E57E53" w:rsidRPr="00E57E53" w:rsidSect="0050097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65C0"/>
    <w:multiLevelType w:val="hybridMultilevel"/>
    <w:tmpl w:val="8612F8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74D7FFD"/>
    <w:multiLevelType w:val="hybridMultilevel"/>
    <w:tmpl w:val="E61A21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AF71E53"/>
    <w:multiLevelType w:val="hybridMultilevel"/>
    <w:tmpl w:val="2B248E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BC7F19"/>
    <w:rsid w:val="000647D0"/>
    <w:rsid w:val="000C71E2"/>
    <w:rsid w:val="001F77EA"/>
    <w:rsid w:val="003C5D8D"/>
    <w:rsid w:val="004D3593"/>
    <w:rsid w:val="0050097C"/>
    <w:rsid w:val="0055117D"/>
    <w:rsid w:val="00661B76"/>
    <w:rsid w:val="0067565F"/>
    <w:rsid w:val="006C4225"/>
    <w:rsid w:val="008B06BF"/>
    <w:rsid w:val="0096372B"/>
    <w:rsid w:val="009A7011"/>
    <w:rsid w:val="00AA7AD1"/>
    <w:rsid w:val="00AF43E7"/>
    <w:rsid w:val="00BC7F19"/>
    <w:rsid w:val="00BF20DF"/>
    <w:rsid w:val="00C15476"/>
    <w:rsid w:val="00C45AD0"/>
    <w:rsid w:val="00C83B2B"/>
    <w:rsid w:val="00CA51A2"/>
    <w:rsid w:val="00D842CD"/>
    <w:rsid w:val="00DA689D"/>
    <w:rsid w:val="00E57E53"/>
    <w:rsid w:val="00EB7A8C"/>
    <w:rsid w:val="00F85565"/>
    <w:rsid w:val="00FB4F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D0B4"/>
  <w15:docId w15:val="{4C7BCBAD-6F17-48A0-90E6-F0D65AE0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E53"/>
    <w:pPr>
      <w:jc w:val="both"/>
    </w:pPr>
  </w:style>
  <w:style w:type="paragraph" w:styleId="Heading1">
    <w:name w:val="heading 1"/>
    <w:basedOn w:val="Normal"/>
    <w:next w:val="Normal"/>
    <w:link w:val="Heading1Char"/>
    <w:uiPriority w:val="9"/>
    <w:qFormat/>
    <w:rsid w:val="00BC7F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43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37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7F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7F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C7F1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C7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F19"/>
    <w:rPr>
      <w:rFonts w:ascii="Tahoma" w:hAnsi="Tahoma" w:cs="Tahoma"/>
      <w:sz w:val="16"/>
      <w:szCs w:val="16"/>
    </w:rPr>
  </w:style>
  <w:style w:type="paragraph" w:styleId="ListParagraph">
    <w:name w:val="List Paragraph"/>
    <w:basedOn w:val="Normal"/>
    <w:uiPriority w:val="34"/>
    <w:qFormat/>
    <w:rsid w:val="00BC7F19"/>
    <w:pPr>
      <w:ind w:left="720"/>
      <w:contextualSpacing/>
    </w:pPr>
  </w:style>
  <w:style w:type="character" w:customStyle="1" w:styleId="Heading2Char">
    <w:name w:val="Heading 2 Char"/>
    <w:basedOn w:val="DefaultParagraphFont"/>
    <w:link w:val="Heading2"/>
    <w:uiPriority w:val="9"/>
    <w:rsid w:val="00AF43E7"/>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AF43E7"/>
    <w:rPr>
      <w:color w:val="808080"/>
    </w:rPr>
  </w:style>
  <w:style w:type="character" w:customStyle="1" w:styleId="Heading3Char">
    <w:name w:val="Heading 3 Char"/>
    <w:basedOn w:val="DefaultParagraphFont"/>
    <w:link w:val="Heading3"/>
    <w:uiPriority w:val="9"/>
    <w:rsid w:val="0096372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423</Words>
  <Characters>3435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Becs</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Juuso Lindgren</dc:creator>
  <cp:lastModifiedBy>Jouttijärvi Sami</cp:lastModifiedBy>
  <cp:revision>15</cp:revision>
  <dcterms:created xsi:type="dcterms:W3CDTF">2014-09-16T08:17:00Z</dcterms:created>
  <dcterms:modified xsi:type="dcterms:W3CDTF">2018-09-20T12:09:00Z</dcterms:modified>
</cp:coreProperties>
</file>