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40C9" w14:textId="77777777" w:rsidR="00616827" w:rsidRPr="003A31EF" w:rsidRDefault="00616827" w:rsidP="00616827">
      <w:pPr>
        <w:pStyle w:val="Toolintro"/>
        <w:rPr>
          <w:rFonts w:ascii="Garamond" w:hAnsi="Garamond"/>
          <w:sz w:val="28"/>
          <w:szCs w:val="28"/>
        </w:rPr>
      </w:pPr>
    </w:p>
    <w:p w14:paraId="1FC31A37" w14:textId="77777777" w:rsidR="00616827" w:rsidRDefault="00616827" w:rsidP="003A31EF">
      <w:pPr>
        <w:pStyle w:val="Toolintro"/>
        <w:jc w:val="center"/>
        <w:rPr>
          <w:rFonts w:ascii="Garamond" w:hAnsi="Garamond"/>
          <w:sz w:val="32"/>
          <w:szCs w:val="32"/>
        </w:rPr>
      </w:pPr>
      <w:r w:rsidRPr="003A31EF">
        <w:rPr>
          <w:rFonts w:ascii="Garamond" w:hAnsi="Garamond"/>
          <w:sz w:val="32"/>
          <w:szCs w:val="32"/>
        </w:rPr>
        <w:t>Mutual Coaching Strategy</w:t>
      </w:r>
    </w:p>
    <w:p w14:paraId="486F8621" w14:textId="77777777" w:rsidR="003A31EF" w:rsidRPr="003A31EF" w:rsidRDefault="003A31EF" w:rsidP="003A31EF">
      <w:pPr>
        <w:pStyle w:val="Toolintro"/>
        <w:jc w:val="center"/>
        <w:rPr>
          <w:rFonts w:ascii="Garamond" w:hAnsi="Garamond"/>
          <w:sz w:val="32"/>
          <w:szCs w:val="32"/>
        </w:rPr>
      </w:pPr>
    </w:p>
    <w:p w14:paraId="1AD1767E" w14:textId="77777777" w:rsidR="00616827" w:rsidRPr="003A31EF" w:rsidRDefault="00616827" w:rsidP="00616827">
      <w:pPr>
        <w:pStyle w:val="Toolintro"/>
        <w:rPr>
          <w:rFonts w:ascii="Garamond" w:hAnsi="Garamond"/>
          <w:sz w:val="20"/>
          <w:szCs w:val="20"/>
        </w:rPr>
      </w:pPr>
    </w:p>
    <w:p w14:paraId="70BB7053" w14:textId="2A98DFFA" w:rsidR="00E04893" w:rsidRPr="003A31EF" w:rsidRDefault="00616827" w:rsidP="00E04893">
      <w:pPr>
        <w:tabs>
          <w:tab w:val="left" w:pos="4050"/>
        </w:tabs>
        <w:spacing w:after="240"/>
        <w:rPr>
          <w:rFonts w:ascii="Garamond" w:hAnsi="Garamond" w:cs="AGaramond-Regular"/>
          <w:sz w:val="24"/>
          <w:szCs w:val="24"/>
        </w:rPr>
      </w:pPr>
      <w:r w:rsidRPr="003A31EF">
        <w:rPr>
          <w:rFonts w:ascii="Garamond" w:hAnsi="Garamond" w:cs="AGaramond-Regular"/>
          <w:sz w:val="24"/>
          <w:szCs w:val="24"/>
        </w:rPr>
        <w:t>A variation on the</w:t>
      </w:r>
      <w:r w:rsidR="00E04893" w:rsidRPr="003A31EF">
        <w:rPr>
          <w:rFonts w:ascii="Garamond" w:hAnsi="Garamond" w:cs="AGaramond-Regular"/>
          <w:sz w:val="24"/>
          <w:szCs w:val="24"/>
        </w:rPr>
        <w:t xml:space="preserve"> Critical Response</w:t>
      </w:r>
      <w:r w:rsidRPr="003A31EF">
        <w:rPr>
          <w:rFonts w:ascii="Garamond" w:hAnsi="Garamond" w:cs="AGaramond-Regular"/>
          <w:sz w:val="24"/>
          <w:szCs w:val="24"/>
        </w:rPr>
        <w:t xml:space="preserve"> Process, Mutual Coaching Strategy</w:t>
      </w:r>
      <w:r w:rsidR="00E04893" w:rsidRPr="003A31EF">
        <w:rPr>
          <w:rFonts w:ascii="Garamond" w:hAnsi="Garamond" w:cs="AGaramond-Regular"/>
          <w:sz w:val="24"/>
          <w:szCs w:val="24"/>
        </w:rPr>
        <w:t xml:space="preserve"> </w:t>
      </w:r>
      <w:r w:rsidRPr="003A31EF">
        <w:rPr>
          <w:rFonts w:ascii="Garamond" w:hAnsi="Garamond" w:cs="AGaramond-Regular"/>
          <w:sz w:val="24"/>
          <w:szCs w:val="24"/>
        </w:rPr>
        <w:t>is specialized for peer-to-peer interaction and collaboration</w:t>
      </w:r>
      <w:r w:rsidR="00E04893" w:rsidRPr="003A31EF">
        <w:rPr>
          <w:rFonts w:ascii="Garamond" w:hAnsi="Garamond" w:cs="AGaramond-Regular"/>
          <w:sz w:val="24"/>
          <w:szCs w:val="24"/>
        </w:rPr>
        <w:t xml:space="preserve">. </w:t>
      </w:r>
    </w:p>
    <w:p w14:paraId="3022CB27" w14:textId="41D86817" w:rsidR="00236231" w:rsidRPr="003A31EF" w:rsidRDefault="00236231" w:rsidP="00E04893">
      <w:pPr>
        <w:tabs>
          <w:tab w:val="left" w:pos="4050"/>
        </w:tabs>
        <w:spacing w:after="240"/>
        <w:rPr>
          <w:rFonts w:ascii="Garamond" w:hAnsi="Garamond" w:cs="AGaramond-Regular"/>
          <w:b/>
          <w:sz w:val="24"/>
          <w:szCs w:val="24"/>
        </w:rPr>
      </w:pPr>
      <w:r w:rsidRPr="003A31EF">
        <w:rPr>
          <w:rFonts w:ascii="Garamond" w:hAnsi="Garamond" w:cs="AGaramond-Regular"/>
          <w:b/>
          <w:sz w:val="24"/>
          <w:szCs w:val="24"/>
        </w:rPr>
        <w:t>ROUND 1</w:t>
      </w:r>
    </w:p>
    <w:p w14:paraId="61D114F7" w14:textId="34879245" w:rsidR="00E04893" w:rsidRPr="003A31EF" w:rsidRDefault="00236231" w:rsidP="003A31EF">
      <w:pPr>
        <w:pStyle w:val="ListParagraph"/>
        <w:numPr>
          <w:ilvl w:val="0"/>
          <w:numId w:val="2"/>
        </w:numPr>
        <w:tabs>
          <w:tab w:val="left" w:pos="4050"/>
        </w:tabs>
        <w:spacing w:after="240"/>
        <w:rPr>
          <w:rFonts w:ascii="Garamond" w:hAnsi="Garamond" w:cs="AGaramond-Regular"/>
          <w:sz w:val="24"/>
          <w:szCs w:val="24"/>
        </w:rPr>
      </w:pPr>
      <w:r w:rsidRPr="003A31EF">
        <w:rPr>
          <w:rFonts w:ascii="Garamond" w:hAnsi="Garamond" w:cs="AGaramond-Regular"/>
          <w:sz w:val="24"/>
          <w:szCs w:val="24"/>
        </w:rPr>
        <w:t>Artist shows work: P</w:t>
      </w:r>
      <w:r w:rsidR="00E04893" w:rsidRPr="003A31EF">
        <w:rPr>
          <w:rFonts w:ascii="Garamond" w:hAnsi="Garamond" w:cs="AGaramond-Regular"/>
          <w:sz w:val="24"/>
          <w:szCs w:val="24"/>
        </w:rPr>
        <w:t>articipating artists</w:t>
      </w:r>
      <w:r w:rsidR="00E614D7">
        <w:rPr>
          <w:rFonts w:ascii="Garamond" w:hAnsi="Garamond" w:cs="AGaramond-Regular"/>
          <w:sz w:val="24"/>
          <w:szCs w:val="24"/>
        </w:rPr>
        <w:t>/students</w:t>
      </w:r>
      <w:r w:rsidR="00E04893" w:rsidRPr="003A31EF">
        <w:rPr>
          <w:rFonts w:ascii="Garamond" w:hAnsi="Garamond" w:cs="AGaramond-Regular"/>
          <w:sz w:val="24"/>
          <w:szCs w:val="24"/>
        </w:rPr>
        <w:t xml:space="preserve"> </w:t>
      </w:r>
      <w:r w:rsidR="00616827" w:rsidRPr="003A31EF">
        <w:rPr>
          <w:rFonts w:ascii="Garamond" w:hAnsi="Garamond" w:cs="AGaramond-Regular"/>
          <w:sz w:val="24"/>
          <w:szCs w:val="24"/>
        </w:rPr>
        <w:t>form pairs</w:t>
      </w:r>
      <w:r w:rsidR="00E04893" w:rsidRPr="003A31EF">
        <w:rPr>
          <w:rFonts w:ascii="Garamond" w:hAnsi="Garamond" w:cs="AGaramond-Regular"/>
          <w:sz w:val="24"/>
          <w:szCs w:val="24"/>
        </w:rPr>
        <w:t>. One</w:t>
      </w:r>
      <w:r w:rsidR="00E614D7">
        <w:rPr>
          <w:rFonts w:ascii="Garamond" w:hAnsi="Garamond" w:cs="AGaramond-Regular"/>
          <w:sz w:val="24"/>
          <w:szCs w:val="24"/>
        </w:rPr>
        <w:t xml:space="preserve"> (“artist”)</w:t>
      </w:r>
      <w:r w:rsidR="00E04893" w:rsidRPr="003A31EF">
        <w:rPr>
          <w:rFonts w:ascii="Garamond" w:hAnsi="Garamond" w:cs="AGaramond-Regular"/>
          <w:sz w:val="24"/>
          <w:szCs w:val="24"/>
        </w:rPr>
        <w:t xml:space="preserve"> performs</w:t>
      </w:r>
      <w:r w:rsidRPr="003A31EF">
        <w:rPr>
          <w:rFonts w:ascii="Garamond" w:hAnsi="Garamond" w:cs="AGaramond-Regular"/>
          <w:sz w:val="24"/>
          <w:szCs w:val="24"/>
        </w:rPr>
        <w:t>/shows</w:t>
      </w:r>
      <w:r w:rsidR="00E04893" w:rsidRPr="003A31EF">
        <w:rPr>
          <w:rFonts w:ascii="Garamond" w:hAnsi="Garamond" w:cs="AGaramond-Regular"/>
          <w:sz w:val="24"/>
          <w:szCs w:val="24"/>
        </w:rPr>
        <w:t xml:space="preserve"> the material while the other </w:t>
      </w:r>
      <w:r w:rsidR="00E614D7">
        <w:rPr>
          <w:rFonts w:ascii="Garamond" w:hAnsi="Garamond" w:cs="AGaramond-Regular"/>
          <w:sz w:val="24"/>
          <w:szCs w:val="24"/>
        </w:rPr>
        <w:t xml:space="preserve">(“coach”) </w:t>
      </w:r>
      <w:r w:rsidR="00E04893" w:rsidRPr="003A31EF">
        <w:rPr>
          <w:rFonts w:ascii="Garamond" w:hAnsi="Garamond" w:cs="AGaramond-Regular"/>
          <w:sz w:val="24"/>
          <w:szCs w:val="24"/>
        </w:rPr>
        <w:t>watches</w:t>
      </w:r>
      <w:r w:rsidR="00590883" w:rsidRPr="003A31EF">
        <w:rPr>
          <w:rFonts w:ascii="Garamond" w:hAnsi="Garamond" w:cs="AGaramond-Regular"/>
          <w:sz w:val="24"/>
          <w:szCs w:val="24"/>
        </w:rPr>
        <w:t>/listens</w:t>
      </w:r>
      <w:r w:rsidR="00E04893" w:rsidRPr="003A31EF">
        <w:rPr>
          <w:rFonts w:ascii="Garamond" w:hAnsi="Garamond" w:cs="AGaramond-Regular"/>
          <w:sz w:val="24"/>
          <w:szCs w:val="24"/>
        </w:rPr>
        <w:t xml:space="preserve">. </w:t>
      </w:r>
    </w:p>
    <w:p w14:paraId="2D1E2877" w14:textId="68B96DA6" w:rsidR="00E04893" w:rsidRPr="003A31EF" w:rsidRDefault="00E614D7" w:rsidP="00616827">
      <w:pPr>
        <w:pStyle w:val="ListParagraph"/>
        <w:numPr>
          <w:ilvl w:val="0"/>
          <w:numId w:val="2"/>
        </w:numPr>
        <w:tabs>
          <w:tab w:val="left" w:pos="4050"/>
        </w:tabs>
        <w:spacing w:after="240"/>
        <w:rPr>
          <w:rFonts w:ascii="Garamond" w:hAnsi="Garamond" w:cs="AGaramond-Regular"/>
          <w:sz w:val="24"/>
          <w:szCs w:val="24"/>
        </w:rPr>
      </w:pPr>
      <w:r>
        <w:rPr>
          <w:rFonts w:ascii="Garamond" w:hAnsi="Garamond" w:cs="AGaramond-Regular"/>
          <w:sz w:val="24"/>
          <w:szCs w:val="24"/>
        </w:rPr>
        <w:t>Coach</w:t>
      </w:r>
      <w:r w:rsidR="00E04893" w:rsidRPr="003A31EF">
        <w:rPr>
          <w:rFonts w:ascii="Garamond" w:hAnsi="Garamond" w:cs="AGaramond-Regular"/>
          <w:sz w:val="24"/>
          <w:szCs w:val="24"/>
        </w:rPr>
        <w:t xml:space="preserve"> comments: The watching</w:t>
      </w:r>
      <w:r w:rsidR="00590883" w:rsidRPr="003A31EF">
        <w:rPr>
          <w:rFonts w:ascii="Garamond" w:hAnsi="Garamond" w:cs="AGaramond-Regular"/>
          <w:sz w:val="24"/>
          <w:szCs w:val="24"/>
        </w:rPr>
        <w:t>/listening</w:t>
      </w:r>
      <w:r w:rsidR="00E04893" w:rsidRPr="003A31EF">
        <w:rPr>
          <w:rFonts w:ascii="Garamond" w:hAnsi="Garamond" w:cs="AGaramond-Regular"/>
          <w:sz w:val="24"/>
          <w:szCs w:val="24"/>
        </w:rPr>
        <w:t xml:space="preserve"> partner offers a few comments </w:t>
      </w:r>
      <w:r w:rsidR="00616827" w:rsidRPr="003A31EF">
        <w:rPr>
          <w:rFonts w:ascii="Garamond" w:hAnsi="Garamond" w:cs="AGaramond-Regular"/>
          <w:sz w:val="24"/>
          <w:szCs w:val="24"/>
        </w:rPr>
        <w:t xml:space="preserve">on </w:t>
      </w:r>
      <w:r w:rsidR="009B5A80" w:rsidRPr="003A31EF">
        <w:rPr>
          <w:rFonts w:ascii="Garamond" w:hAnsi="Garamond" w:cs="AGaramond-Regular"/>
          <w:sz w:val="24"/>
          <w:szCs w:val="24"/>
        </w:rPr>
        <w:t xml:space="preserve">aspects of the </w:t>
      </w:r>
      <w:r w:rsidR="00E04893" w:rsidRPr="003A31EF">
        <w:rPr>
          <w:rFonts w:ascii="Garamond" w:hAnsi="Garamond" w:cs="AGaramond-Regular"/>
          <w:sz w:val="24"/>
          <w:szCs w:val="24"/>
        </w:rPr>
        <w:t>performance that worked well</w:t>
      </w:r>
      <w:r w:rsidR="00B73CCD" w:rsidRPr="003A31EF">
        <w:rPr>
          <w:rFonts w:ascii="Garamond" w:hAnsi="Garamond" w:cs="AGaramond-Regular"/>
          <w:sz w:val="24"/>
          <w:szCs w:val="24"/>
        </w:rPr>
        <w:t xml:space="preserve"> </w:t>
      </w:r>
      <w:r w:rsidR="00E04893" w:rsidRPr="003A31EF">
        <w:rPr>
          <w:rFonts w:ascii="Garamond" w:hAnsi="Garamond" w:cs="AGaramond-Regular"/>
          <w:sz w:val="24"/>
          <w:szCs w:val="24"/>
        </w:rPr>
        <w:t>or were effective</w:t>
      </w:r>
      <w:r w:rsidR="00236231" w:rsidRPr="003A31EF">
        <w:rPr>
          <w:rFonts w:ascii="Garamond" w:hAnsi="Garamond" w:cs="AGaramond-Regular"/>
          <w:sz w:val="24"/>
          <w:szCs w:val="24"/>
        </w:rPr>
        <w:t>, striking, or meaningful</w:t>
      </w:r>
      <w:r w:rsidR="00E04893" w:rsidRPr="003A31EF">
        <w:rPr>
          <w:rFonts w:ascii="Garamond" w:hAnsi="Garamond" w:cs="AGaramond-Regular"/>
          <w:sz w:val="24"/>
          <w:szCs w:val="24"/>
        </w:rPr>
        <w:t xml:space="preserve">. </w:t>
      </w:r>
    </w:p>
    <w:p w14:paraId="3DB4EC55" w14:textId="5358CEFD" w:rsidR="00236231" w:rsidRPr="003A31EF" w:rsidRDefault="00236231" w:rsidP="00236231">
      <w:pPr>
        <w:tabs>
          <w:tab w:val="left" w:pos="4050"/>
        </w:tabs>
        <w:spacing w:after="240"/>
        <w:rPr>
          <w:rFonts w:ascii="Garamond" w:hAnsi="Garamond" w:cs="AGaramond-Regular"/>
          <w:b/>
          <w:sz w:val="24"/>
          <w:szCs w:val="24"/>
        </w:rPr>
      </w:pPr>
      <w:r w:rsidRPr="003A31EF">
        <w:rPr>
          <w:rFonts w:ascii="Garamond" w:hAnsi="Garamond" w:cs="AGaramond-Regular"/>
          <w:b/>
          <w:sz w:val="24"/>
          <w:szCs w:val="24"/>
        </w:rPr>
        <w:t>ROUND 2</w:t>
      </w:r>
    </w:p>
    <w:p w14:paraId="790323CF" w14:textId="27D812D6" w:rsidR="00E04893" w:rsidRPr="003A31EF" w:rsidRDefault="00236231" w:rsidP="00236231">
      <w:pPr>
        <w:pStyle w:val="ListParagraph"/>
        <w:numPr>
          <w:ilvl w:val="0"/>
          <w:numId w:val="3"/>
        </w:numPr>
        <w:tabs>
          <w:tab w:val="left" w:pos="4050"/>
        </w:tabs>
        <w:spacing w:after="240"/>
        <w:rPr>
          <w:rFonts w:ascii="Garamond" w:hAnsi="Garamond" w:cs="AGaramond-Regular"/>
          <w:sz w:val="24"/>
          <w:szCs w:val="24"/>
        </w:rPr>
      </w:pPr>
      <w:r w:rsidRPr="003A31EF">
        <w:rPr>
          <w:rFonts w:ascii="Garamond" w:hAnsi="Garamond" w:cs="AGaramond-Regular"/>
          <w:sz w:val="24"/>
          <w:szCs w:val="24"/>
        </w:rPr>
        <w:t>Artist</w:t>
      </w:r>
      <w:r w:rsidR="00E04893" w:rsidRPr="003A31EF">
        <w:rPr>
          <w:rFonts w:ascii="Garamond" w:hAnsi="Garamond" w:cs="AGaramond-Regular"/>
          <w:sz w:val="24"/>
          <w:szCs w:val="24"/>
        </w:rPr>
        <w:t xml:space="preserve"> states area of focus: The </w:t>
      </w:r>
      <w:r w:rsidRPr="003A31EF">
        <w:rPr>
          <w:rFonts w:ascii="Garamond" w:hAnsi="Garamond" w:cs="AGaramond-Regular"/>
          <w:sz w:val="24"/>
          <w:szCs w:val="24"/>
        </w:rPr>
        <w:t>artist now</w:t>
      </w:r>
      <w:r w:rsidR="00E04893" w:rsidRPr="003A31EF">
        <w:rPr>
          <w:rFonts w:ascii="Garamond" w:hAnsi="Garamond" w:cs="AGaramond-Regular"/>
          <w:sz w:val="24"/>
          <w:szCs w:val="24"/>
        </w:rPr>
        <w:t xml:space="preserve"> </w:t>
      </w:r>
      <w:r w:rsidR="00616827" w:rsidRPr="003A31EF">
        <w:rPr>
          <w:rFonts w:ascii="Garamond" w:hAnsi="Garamond" w:cs="AGaramond-Regular"/>
          <w:sz w:val="24"/>
          <w:szCs w:val="24"/>
        </w:rPr>
        <w:t xml:space="preserve">invites feedback about a specific </w:t>
      </w:r>
      <w:r w:rsidR="00E04893" w:rsidRPr="003A31EF">
        <w:rPr>
          <w:rFonts w:ascii="Garamond" w:hAnsi="Garamond" w:cs="AGaramond-Regular"/>
          <w:sz w:val="24"/>
          <w:szCs w:val="24"/>
        </w:rPr>
        <w:t>aspect of his</w:t>
      </w:r>
      <w:r w:rsidR="00616827" w:rsidRPr="003A31EF">
        <w:rPr>
          <w:rFonts w:ascii="Garamond" w:hAnsi="Garamond" w:cs="AGaramond-Regular"/>
          <w:sz w:val="24"/>
          <w:szCs w:val="24"/>
        </w:rPr>
        <w:t>/her</w:t>
      </w:r>
      <w:r w:rsidR="00E04893" w:rsidRPr="003A31EF">
        <w:rPr>
          <w:rFonts w:ascii="Garamond" w:hAnsi="Garamond" w:cs="AGaramond-Regular"/>
          <w:sz w:val="24"/>
          <w:szCs w:val="24"/>
        </w:rPr>
        <w:t xml:space="preserve"> </w:t>
      </w:r>
      <w:r w:rsidRPr="003A31EF">
        <w:rPr>
          <w:rFonts w:ascii="Garamond" w:hAnsi="Garamond" w:cs="AGaramond-Regular"/>
          <w:sz w:val="24"/>
          <w:szCs w:val="24"/>
        </w:rPr>
        <w:t>presentation</w:t>
      </w:r>
      <w:r w:rsidR="00E04893" w:rsidRPr="003A31EF">
        <w:rPr>
          <w:rFonts w:ascii="Garamond" w:hAnsi="Garamond" w:cs="AGaramond-Regular"/>
          <w:sz w:val="24"/>
          <w:szCs w:val="24"/>
        </w:rPr>
        <w:t xml:space="preserve">. </w:t>
      </w:r>
      <w:r w:rsidR="00616827" w:rsidRPr="003A31EF">
        <w:rPr>
          <w:rFonts w:ascii="Garamond" w:hAnsi="Garamond" w:cs="AGaramond-Regular"/>
          <w:sz w:val="24"/>
          <w:szCs w:val="24"/>
        </w:rPr>
        <w:t>A</w:t>
      </w:r>
      <w:r w:rsidR="00E04893" w:rsidRPr="003A31EF">
        <w:rPr>
          <w:rFonts w:ascii="Garamond" w:hAnsi="Garamond" w:cs="AGaramond-Regular"/>
          <w:sz w:val="24"/>
          <w:szCs w:val="24"/>
        </w:rPr>
        <w:t xml:space="preserve"> dancer might say: “I’m working on my transitions,” a </w:t>
      </w:r>
      <w:r w:rsidRPr="003A31EF">
        <w:rPr>
          <w:rFonts w:ascii="Garamond" w:hAnsi="Garamond" w:cs="AGaramond-Regular"/>
          <w:sz w:val="24"/>
          <w:szCs w:val="24"/>
        </w:rPr>
        <w:t>storytel</w:t>
      </w:r>
      <w:r w:rsidR="00B73CCD" w:rsidRPr="003A31EF">
        <w:rPr>
          <w:rFonts w:ascii="Garamond" w:hAnsi="Garamond" w:cs="AGaramond-Regular"/>
          <w:sz w:val="24"/>
          <w:szCs w:val="24"/>
        </w:rPr>
        <w:t>l</w:t>
      </w:r>
      <w:r w:rsidRPr="003A31EF">
        <w:rPr>
          <w:rFonts w:ascii="Garamond" w:hAnsi="Garamond" w:cs="AGaramond-Regular"/>
          <w:sz w:val="24"/>
          <w:szCs w:val="24"/>
        </w:rPr>
        <w:t>er</w:t>
      </w:r>
      <w:r w:rsidR="00B73CCD" w:rsidRPr="003A31EF">
        <w:rPr>
          <w:rFonts w:ascii="Garamond" w:hAnsi="Garamond" w:cs="AGaramond-Regular"/>
          <w:sz w:val="24"/>
          <w:szCs w:val="24"/>
        </w:rPr>
        <w:t xml:space="preserve">: “I’m trying to </w:t>
      </w:r>
      <w:r w:rsidRPr="003A31EF">
        <w:rPr>
          <w:rFonts w:ascii="Garamond" w:hAnsi="Garamond" w:cs="AGaramond-Regular"/>
          <w:sz w:val="24"/>
          <w:szCs w:val="24"/>
        </w:rPr>
        <w:t xml:space="preserve">differentiate </w:t>
      </w:r>
      <w:r w:rsidR="00B73CCD" w:rsidRPr="003A31EF">
        <w:rPr>
          <w:rFonts w:ascii="Garamond" w:hAnsi="Garamond" w:cs="AGaramond-Regular"/>
          <w:sz w:val="24"/>
          <w:szCs w:val="24"/>
        </w:rPr>
        <w:t>my voice as narrator from the characters who speak in the story</w:t>
      </w:r>
      <w:r w:rsidR="00E04893" w:rsidRPr="003A31EF">
        <w:rPr>
          <w:rFonts w:ascii="Garamond" w:hAnsi="Garamond" w:cs="AGaramond-Regular"/>
          <w:sz w:val="24"/>
          <w:szCs w:val="24"/>
        </w:rPr>
        <w:t xml:space="preserve">,” or a pianist: “I want the right hand to play lyrically while I keep the left hand percussive.” The </w:t>
      </w:r>
      <w:r w:rsidRPr="003A31EF">
        <w:rPr>
          <w:rFonts w:ascii="Garamond" w:hAnsi="Garamond" w:cs="AGaramond-Regular"/>
          <w:sz w:val="24"/>
          <w:szCs w:val="24"/>
        </w:rPr>
        <w:t>artist</w:t>
      </w:r>
      <w:r w:rsidR="00E04893" w:rsidRPr="003A31EF">
        <w:rPr>
          <w:rFonts w:ascii="Garamond" w:hAnsi="Garamond" w:cs="AGaramond-Regular"/>
          <w:sz w:val="24"/>
          <w:szCs w:val="24"/>
        </w:rPr>
        <w:t xml:space="preserve"> then repeats the passage. </w:t>
      </w:r>
    </w:p>
    <w:p w14:paraId="0881C074" w14:textId="23AD6DD9" w:rsidR="00E04893" w:rsidRPr="003A31EF" w:rsidRDefault="00E614D7" w:rsidP="00236231">
      <w:pPr>
        <w:pStyle w:val="ListParagraph"/>
        <w:numPr>
          <w:ilvl w:val="0"/>
          <w:numId w:val="3"/>
        </w:numPr>
        <w:tabs>
          <w:tab w:val="left" w:pos="4050"/>
        </w:tabs>
        <w:spacing w:after="240"/>
        <w:rPr>
          <w:rFonts w:ascii="Garamond" w:hAnsi="Garamond" w:cs="AGaramond-Regular"/>
          <w:sz w:val="24"/>
          <w:szCs w:val="24"/>
        </w:rPr>
      </w:pPr>
      <w:r>
        <w:rPr>
          <w:rFonts w:ascii="Garamond" w:hAnsi="Garamond" w:cs="AGaramond-Regular"/>
          <w:sz w:val="24"/>
          <w:szCs w:val="24"/>
        </w:rPr>
        <w:t>Coach</w:t>
      </w:r>
      <w:r w:rsidR="00E04893" w:rsidRPr="003A31EF">
        <w:rPr>
          <w:rFonts w:ascii="Garamond" w:hAnsi="Garamond" w:cs="AGaramond-Regular"/>
          <w:sz w:val="24"/>
          <w:szCs w:val="24"/>
        </w:rPr>
        <w:t xml:space="preserve"> responds: The </w:t>
      </w:r>
      <w:r>
        <w:rPr>
          <w:rFonts w:ascii="Garamond" w:hAnsi="Garamond" w:cs="AGaramond-Regular"/>
          <w:sz w:val="24"/>
          <w:szCs w:val="24"/>
        </w:rPr>
        <w:t xml:space="preserve">coaching partner </w:t>
      </w:r>
      <w:r w:rsidR="00E04893" w:rsidRPr="003A31EF">
        <w:rPr>
          <w:rFonts w:ascii="Garamond" w:hAnsi="Garamond" w:cs="AGaramond-Regular"/>
          <w:sz w:val="24"/>
          <w:szCs w:val="24"/>
        </w:rPr>
        <w:t xml:space="preserve">attends to the repeat and </w:t>
      </w:r>
      <w:r w:rsidR="00B73CCD" w:rsidRPr="003A31EF">
        <w:rPr>
          <w:rFonts w:ascii="Garamond" w:hAnsi="Garamond" w:cs="AGaramond-Regular"/>
          <w:sz w:val="24"/>
          <w:szCs w:val="24"/>
        </w:rPr>
        <w:t xml:space="preserve">gives feedback on the focus area the artist has identified. </w:t>
      </w:r>
    </w:p>
    <w:p w14:paraId="2E8256C6" w14:textId="4382A756" w:rsidR="00236231" w:rsidRPr="003A31EF" w:rsidRDefault="00236231" w:rsidP="00236231">
      <w:pPr>
        <w:tabs>
          <w:tab w:val="left" w:pos="4050"/>
        </w:tabs>
        <w:spacing w:after="240"/>
        <w:rPr>
          <w:rFonts w:ascii="Garamond" w:hAnsi="Garamond" w:cs="AGaramond-Regular"/>
          <w:b/>
          <w:sz w:val="24"/>
          <w:szCs w:val="24"/>
        </w:rPr>
      </w:pPr>
      <w:r w:rsidRPr="003A31EF">
        <w:rPr>
          <w:rFonts w:ascii="Garamond" w:hAnsi="Garamond" w:cs="AGaramond-Regular"/>
          <w:b/>
          <w:sz w:val="24"/>
          <w:szCs w:val="24"/>
        </w:rPr>
        <w:t>ROUND 3</w:t>
      </w:r>
    </w:p>
    <w:p w14:paraId="74C0C62E" w14:textId="3A943EFD" w:rsidR="00E04893" w:rsidRPr="003A31EF" w:rsidRDefault="00E614D7" w:rsidP="00236231">
      <w:pPr>
        <w:pStyle w:val="ListParagraph"/>
        <w:numPr>
          <w:ilvl w:val="0"/>
          <w:numId w:val="4"/>
        </w:numPr>
        <w:tabs>
          <w:tab w:val="left" w:pos="4050"/>
        </w:tabs>
        <w:spacing w:after="240"/>
        <w:rPr>
          <w:rFonts w:ascii="Garamond" w:hAnsi="Garamond" w:cs="AGaramond-Regular"/>
          <w:sz w:val="24"/>
          <w:szCs w:val="24"/>
        </w:rPr>
      </w:pPr>
      <w:r>
        <w:rPr>
          <w:rFonts w:ascii="Garamond" w:hAnsi="Garamond" w:cs="AGaramond-Regular"/>
          <w:sz w:val="24"/>
          <w:szCs w:val="24"/>
        </w:rPr>
        <w:t>Coach</w:t>
      </w:r>
      <w:r w:rsidR="00E04893" w:rsidRPr="003A31EF">
        <w:rPr>
          <w:rFonts w:ascii="Garamond" w:hAnsi="Garamond" w:cs="AGaramond-Regular"/>
          <w:sz w:val="24"/>
          <w:szCs w:val="24"/>
        </w:rPr>
        <w:t xml:space="preserve"> offers additional focus area: </w:t>
      </w:r>
      <w:r>
        <w:rPr>
          <w:rFonts w:ascii="Garamond" w:hAnsi="Garamond" w:cs="AGaramond-Regular"/>
          <w:sz w:val="24"/>
          <w:szCs w:val="24"/>
        </w:rPr>
        <w:t>The coach now</w:t>
      </w:r>
      <w:r w:rsidR="00E04893" w:rsidRPr="003A31EF">
        <w:rPr>
          <w:rFonts w:ascii="Garamond" w:hAnsi="Garamond" w:cs="AGaramond-Regular"/>
          <w:sz w:val="24"/>
          <w:szCs w:val="24"/>
        </w:rPr>
        <w:t xml:space="preserve"> names another area for the performer to work on, “Think about keeping your movement more fluid across the shoulders;” “Try varying the loudness and softness of your speaking;” “See what results you get if you use the pedal a little more sparingly.” </w:t>
      </w:r>
    </w:p>
    <w:p w14:paraId="1BBC476E" w14:textId="1B6B87B2" w:rsidR="003A31EF" w:rsidRPr="003A31EF" w:rsidRDefault="003A31EF" w:rsidP="00236231">
      <w:pPr>
        <w:pStyle w:val="ListParagraph"/>
        <w:numPr>
          <w:ilvl w:val="0"/>
          <w:numId w:val="4"/>
        </w:numPr>
        <w:tabs>
          <w:tab w:val="left" w:pos="4050"/>
        </w:tabs>
        <w:spacing w:after="240"/>
        <w:rPr>
          <w:rFonts w:ascii="Garamond" w:hAnsi="Garamond" w:cs="AGaramond-Regular"/>
          <w:sz w:val="24"/>
          <w:szCs w:val="24"/>
        </w:rPr>
      </w:pPr>
      <w:r>
        <w:rPr>
          <w:rFonts w:ascii="Garamond" w:hAnsi="Garamond" w:cs="AGaramond-Regular"/>
          <w:sz w:val="24"/>
          <w:szCs w:val="24"/>
        </w:rPr>
        <w:t>Debrief</w:t>
      </w:r>
      <w:r w:rsidR="00E04893" w:rsidRPr="003A31EF">
        <w:rPr>
          <w:rFonts w:ascii="Garamond" w:hAnsi="Garamond" w:cs="AGaramond-Regular"/>
          <w:sz w:val="24"/>
          <w:szCs w:val="24"/>
        </w:rPr>
        <w:t xml:space="preserve">: After a final performance of the material, partners </w:t>
      </w:r>
      <w:r w:rsidRPr="003A31EF">
        <w:rPr>
          <w:rFonts w:ascii="Garamond" w:hAnsi="Garamond" w:cs="AGaramond-Regular"/>
          <w:sz w:val="24"/>
          <w:szCs w:val="24"/>
        </w:rPr>
        <w:t>debrief to assess progress that was observed</w:t>
      </w:r>
      <w:r w:rsidR="00E614D7">
        <w:rPr>
          <w:rFonts w:ascii="Garamond" w:hAnsi="Garamond" w:cs="AGaramond-Regular"/>
          <w:sz w:val="24"/>
          <w:szCs w:val="24"/>
        </w:rPr>
        <w:t xml:space="preserve">, share </w:t>
      </w:r>
      <w:r w:rsidRPr="003A31EF">
        <w:rPr>
          <w:rFonts w:ascii="Garamond" w:hAnsi="Garamond" w:cs="AGaramond-Regular"/>
          <w:sz w:val="24"/>
          <w:szCs w:val="24"/>
        </w:rPr>
        <w:t>insights gained</w:t>
      </w:r>
      <w:r w:rsidR="00E614D7">
        <w:rPr>
          <w:rFonts w:ascii="Garamond" w:hAnsi="Garamond" w:cs="AGaramond-Regular"/>
          <w:sz w:val="24"/>
          <w:szCs w:val="24"/>
        </w:rPr>
        <w:t xml:space="preserve">, or consider future steps. </w:t>
      </w:r>
    </w:p>
    <w:p w14:paraId="227FBAB7" w14:textId="0E75574A" w:rsidR="00E04893" w:rsidRPr="003A31EF" w:rsidRDefault="003A31EF" w:rsidP="003A31EF">
      <w:pPr>
        <w:tabs>
          <w:tab w:val="left" w:pos="4050"/>
        </w:tabs>
        <w:spacing w:after="240"/>
        <w:rPr>
          <w:rFonts w:ascii="Garamond" w:hAnsi="Garamond" w:cs="AGaramond-Regular"/>
          <w:b/>
          <w:sz w:val="24"/>
          <w:szCs w:val="24"/>
        </w:rPr>
      </w:pPr>
      <w:r w:rsidRPr="003A31EF">
        <w:rPr>
          <w:rFonts w:ascii="Garamond" w:hAnsi="Garamond" w:cs="AGaramond-Regular"/>
          <w:b/>
          <w:sz w:val="24"/>
          <w:szCs w:val="24"/>
        </w:rPr>
        <w:t>FROM THE TOP</w:t>
      </w:r>
      <w:r w:rsidR="00E04893" w:rsidRPr="003A31EF">
        <w:rPr>
          <w:rFonts w:ascii="Garamond" w:hAnsi="Garamond" w:cs="AGaramond-Regular"/>
          <w:b/>
          <w:sz w:val="24"/>
          <w:szCs w:val="24"/>
        </w:rPr>
        <w:t xml:space="preserve"> </w:t>
      </w:r>
    </w:p>
    <w:p w14:paraId="1F7F594D" w14:textId="4D7C36C1" w:rsidR="003A31EF" w:rsidRPr="003A31EF" w:rsidRDefault="003A31EF" w:rsidP="003A31EF">
      <w:pPr>
        <w:tabs>
          <w:tab w:val="left" w:pos="4050"/>
        </w:tabs>
        <w:spacing w:after="240"/>
        <w:ind w:left="720"/>
        <w:rPr>
          <w:rFonts w:ascii="Garamond" w:hAnsi="Garamond" w:cs="AGaramond-Regular"/>
          <w:sz w:val="24"/>
          <w:szCs w:val="24"/>
        </w:rPr>
      </w:pPr>
      <w:r>
        <w:rPr>
          <w:rFonts w:ascii="Garamond" w:hAnsi="Garamond" w:cs="AGaramond-Regular"/>
          <w:sz w:val="24"/>
          <w:szCs w:val="24"/>
        </w:rPr>
        <w:t xml:space="preserve">Switch and repeat: </w:t>
      </w:r>
      <w:r w:rsidRPr="003A31EF">
        <w:rPr>
          <w:rFonts w:ascii="Garamond" w:hAnsi="Garamond" w:cs="AGaramond-Regular"/>
          <w:sz w:val="24"/>
          <w:szCs w:val="24"/>
        </w:rPr>
        <w:t xml:space="preserve">Participants reverse roles and repeat the process. </w:t>
      </w:r>
    </w:p>
    <w:p w14:paraId="33F98873" w14:textId="77777777" w:rsidR="003A31EF" w:rsidRPr="003A31EF" w:rsidRDefault="003A31EF" w:rsidP="00590883">
      <w:pPr>
        <w:tabs>
          <w:tab w:val="left" w:pos="4050"/>
        </w:tabs>
        <w:spacing w:after="240"/>
        <w:rPr>
          <w:rFonts w:ascii="Garamond" w:hAnsi="Garamond" w:cs="AGaramond-Regular"/>
          <w:sz w:val="20"/>
          <w:szCs w:val="20"/>
        </w:rPr>
      </w:pPr>
    </w:p>
    <w:p w14:paraId="16A64DEB" w14:textId="3E45A57E" w:rsidR="006E1E8A" w:rsidRPr="003A31EF" w:rsidRDefault="00590883" w:rsidP="00590883">
      <w:pPr>
        <w:tabs>
          <w:tab w:val="left" w:pos="4050"/>
        </w:tabs>
        <w:spacing w:after="240"/>
        <w:rPr>
          <w:rFonts w:ascii="Garamond" w:hAnsi="Garamond" w:cs="AGaramond-Regular"/>
          <w:sz w:val="24"/>
          <w:szCs w:val="24"/>
        </w:rPr>
      </w:pPr>
      <w:r w:rsidRPr="003A31EF">
        <w:rPr>
          <w:rFonts w:ascii="Garamond" w:hAnsi="Garamond" w:cs="AGaramond-Regular"/>
          <w:sz w:val="24"/>
          <w:szCs w:val="24"/>
        </w:rPr>
        <w:t>Please</w:t>
      </w:r>
      <w:r w:rsidRPr="003A31EF">
        <w:rPr>
          <w:rFonts w:ascii="Garamond" w:hAnsi="Garamond" w:cs="AGaramond-Regular"/>
          <w:sz w:val="20"/>
          <w:szCs w:val="20"/>
        </w:rPr>
        <w:t xml:space="preserve"> </w:t>
      </w:r>
      <w:r w:rsidRPr="003A31EF">
        <w:rPr>
          <w:rFonts w:ascii="Garamond" w:hAnsi="Garamond" w:cs="AGaramond-Regular"/>
          <w:sz w:val="24"/>
          <w:szCs w:val="24"/>
        </w:rPr>
        <w:t>do not reproduce or distribute without permission.</w:t>
      </w:r>
      <w:r w:rsidRPr="003A31EF">
        <w:rPr>
          <w:rFonts w:ascii="Garamond" w:hAnsi="Garamond" w:cs="AGaramond-Regular"/>
          <w:sz w:val="24"/>
          <w:szCs w:val="24"/>
        </w:rPr>
        <w:br/>
        <w:t>For more information, contact John Borstel: john@lizlerman.com</w:t>
      </w:r>
    </w:p>
    <w:sectPr w:rsidR="006E1E8A" w:rsidRPr="003A31EF" w:rsidSect="006E1E8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-Regular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647"/>
    <w:multiLevelType w:val="hybridMultilevel"/>
    <w:tmpl w:val="F0626C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F13D0"/>
    <w:multiLevelType w:val="hybridMultilevel"/>
    <w:tmpl w:val="58481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74E0B"/>
    <w:multiLevelType w:val="hybridMultilevel"/>
    <w:tmpl w:val="807EC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E4399"/>
    <w:multiLevelType w:val="hybridMultilevel"/>
    <w:tmpl w:val="3A1E1D48"/>
    <w:lvl w:ilvl="0" w:tplc="B12A2A40">
      <w:start w:val="1"/>
      <w:numFmt w:val="upperLetter"/>
      <w:lvlText w:val="%1."/>
      <w:lvlJc w:val="left"/>
      <w:pPr>
        <w:ind w:left="720" w:hanging="360"/>
      </w:pPr>
      <w:rPr>
        <w:rFonts w:ascii="Garamond" w:eastAsiaTheme="minorHAnsi" w:hAnsi="Garamond" w:cs="AGaramond-Regul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032594">
    <w:abstractNumId w:val="2"/>
  </w:num>
  <w:num w:numId="2" w16cid:durableId="1356467898">
    <w:abstractNumId w:val="3"/>
  </w:num>
  <w:num w:numId="3" w16cid:durableId="633146532">
    <w:abstractNumId w:val="0"/>
  </w:num>
  <w:num w:numId="4" w16cid:durableId="1422674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93"/>
    <w:rsid w:val="00236231"/>
    <w:rsid w:val="003A31EF"/>
    <w:rsid w:val="00495BC0"/>
    <w:rsid w:val="004D0134"/>
    <w:rsid w:val="00590883"/>
    <w:rsid w:val="00616827"/>
    <w:rsid w:val="006E1E8A"/>
    <w:rsid w:val="00890BAB"/>
    <w:rsid w:val="009B5A80"/>
    <w:rsid w:val="00B73CCD"/>
    <w:rsid w:val="00B832CF"/>
    <w:rsid w:val="00E04893"/>
    <w:rsid w:val="00E6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1DDBE98E"/>
  <w14:defaultImageDpi w14:val="300"/>
  <w15:docId w15:val="{70A102BF-A8E1-7645-AC26-7B7EC2F1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9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olintro">
    <w:name w:val="Tool intro"/>
    <w:rsid w:val="00616827"/>
    <w:pPr>
      <w:autoSpaceDE w:val="0"/>
      <w:autoSpaceDN w:val="0"/>
      <w:adjustRightInd w:val="0"/>
    </w:pPr>
    <w:rPr>
      <w:rFonts w:ascii="Tahoma" w:eastAsia="Times New Roman" w:hAnsi="Tahoma" w:cs="Tahoma"/>
      <w:b/>
      <w:bCs/>
      <w:color w:val="00000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16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Maylett Hanna</cp:lastModifiedBy>
  <cp:revision>2</cp:revision>
  <dcterms:created xsi:type="dcterms:W3CDTF">2021-01-29T12:41:00Z</dcterms:created>
  <dcterms:modified xsi:type="dcterms:W3CDTF">2021-01-29T12:41:00Z</dcterms:modified>
</cp:coreProperties>
</file>