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5D98" w14:textId="77777777" w:rsidR="009E2F46" w:rsidRPr="00A54CDF" w:rsidRDefault="009E2F46" w:rsidP="00D468F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EABE1C8" wp14:editId="03019724">
            <wp:simplePos x="0" y="0"/>
            <wp:positionH relativeFrom="margin">
              <wp:posOffset>0</wp:posOffset>
            </wp:positionH>
            <wp:positionV relativeFrom="margin">
              <wp:posOffset>294233</wp:posOffset>
            </wp:positionV>
            <wp:extent cx="3831590" cy="1224280"/>
            <wp:effectExtent l="0" t="0" r="0" b="0"/>
            <wp:wrapTopAndBottom/>
            <wp:docPr id="15" name="Picture 15" descr="Aalto_MIKKELICAMPUS_EN_13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to_MIKKELICAMPUS_EN_13_RGB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CDF">
        <w:rPr>
          <w:rFonts w:ascii="Arial" w:hAnsi="Arial" w:cs="Arial"/>
          <w:b/>
          <w:sz w:val="24"/>
        </w:rPr>
        <w:t xml:space="preserve"> </w:t>
      </w:r>
    </w:p>
    <w:p w14:paraId="0571000E" w14:textId="77777777" w:rsidR="00D468F2" w:rsidRDefault="00D468F2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7AB7A40E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721DA844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76CD2A37" w14:textId="15650DE7" w:rsidR="009E2F46" w:rsidRPr="00060FAE" w:rsidRDefault="0042099F" w:rsidP="00D468F2">
      <w:pPr>
        <w:spacing w:after="0" w:line="360" w:lineRule="auto"/>
        <w:rPr>
          <w:rFonts w:ascii="Arial" w:eastAsia="Times New Roman" w:hAnsi="Arial" w:cs="Arial"/>
          <w:caps/>
          <w:sz w:val="24"/>
          <w:szCs w:val="20"/>
          <w:lang w:val="en-US"/>
        </w:rPr>
      </w:pPr>
      <w:r w:rsidRPr="00060FAE">
        <w:rPr>
          <w:rFonts w:ascii="Arial" w:eastAsia="Times New Roman" w:hAnsi="Arial" w:cs="Arial"/>
          <w:caps/>
          <w:sz w:val="24"/>
          <w:szCs w:val="20"/>
          <w:lang w:val="en-US"/>
        </w:rPr>
        <w:t xml:space="preserve">THESIS STATEMENT AND </w:t>
      </w:r>
      <w:r w:rsidR="00545A5E" w:rsidRPr="00060FAE">
        <w:rPr>
          <w:rFonts w:ascii="Arial" w:eastAsia="Times New Roman" w:hAnsi="Arial" w:cs="Arial"/>
          <w:caps/>
          <w:sz w:val="24"/>
          <w:szCs w:val="20"/>
          <w:lang w:val="en-US"/>
        </w:rPr>
        <w:t>A</w:t>
      </w:r>
      <w:r w:rsidR="00080F35" w:rsidRPr="00060FAE">
        <w:rPr>
          <w:rFonts w:ascii="Arial" w:eastAsia="Times New Roman" w:hAnsi="Arial" w:cs="Arial"/>
          <w:caps/>
          <w:sz w:val="24"/>
          <w:szCs w:val="20"/>
          <w:lang w:val="en-US"/>
        </w:rPr>
        <w:t>NNOTATED BIBLIOGRAPHY</w:t>
      </w:r>
    </w:p>
    <w:p w14:paraId="37D98760" w14:textId="104E711C" w:rsidR="009E2F4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C55F3D9" w14:textId="77777777" w:rsidR="00D468F2" w:rsidRPr="00CA7DC6" w:rsidRDefault="00D468F2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3340F0E" w14:textId="77777777" w:rsidR="00D468F2" w:rsidRPr="00CA7DC6" w:rsidRDefault="00D468F2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07C612E8" w14:textId="4A099E81" w:rsidR="009E2F46" w:rsidRPr="00060FAE" w:rsidRDefault="00080F35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060FAE">
        <w:rPr>
          <w:rFonts w:ascii="Arial" w:eastAsia="Times New Roman" w:hAnsi="Arial" w:cs="Arial"/>
          <w:sz w:val="24"/>
          <w:szCs w:val="20"/>
          <w:lang w:val="en-US"/>
        </w:rPr>
        <w:t>Nguyen Hoang Gia Bao</w:t>
      </w:r>
    </w:p>
    <w:p w14:paraId="54D00E92" w14:textId="77777777" w:rsidR="009E2F46" w:rsidRPr="00060FAE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CCBCB09" w14:textId="77777777" w:rsidR="009E2F46" w:rsidRPr="00060FAE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138E37F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26D70EDD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2361F5B3" w14:textId="2F02A3DE" w:rsidR="009E2F4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13555929" w14:textId="77777777" w:rsidR="00D468F2" w:rsidRPr="00CA7DC6" w:rsidRDefault="00D468F2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001B9D76" w14:textId="13A42369" w:rsidR="009E2F46" w:rsidRPr="00CA7DC6" w:rsidRDefault="00080F35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60FAE">
        <w:rPr>
          <w:rFonts w:ascii="Arial" w:eastAsia="Times New Roman" w:hAnsi="Arial" w:cs="Arial"/>
          <w:sz w:val="24"/>
          <w:szCs w:val="20"/>
          <w:lang w:val="en-US"/>
        </w:rPr>
        <w:t>Academic Writing</w:t>
      </w:r>
    </w:p>
    <w:p w14:paraId="3E746BA5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Instructor: </w:t>
      </w:r>
      <w:r w:rsidRPr="00060FAE">
        <w:rPr>
          <w:rFonts w:ascii="Arial" w:eastAsia="Times New Roman" w:hAnsi="Arial" w:cs="Arial"/>
          <w:sz w:val="24"/>
          <w:szCs w:val="20"/>
          <w:lang w:val="en-US"/>
        </w:rPr>
        <w:t>Professor Sophia Butt</w:t>
      </w:r>
    </w:p>
    <w:p w14:paraId="13526021" w14:textId="48F5BEEB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Date of submission: </w:t>
      </w:r>
      <w:r w:rsidR="00080F35" w:rsidRPr="000B5088">
        <w:rPr>
          <w:rFonts w:ascii="Arial" w:eastAsia="Times New Roman" w:hAnsi="Arial" w:cs="Arial"/>
          <w:sz w:val="24"/>
          <w:szCs w:val="20"/>
          <w:lang w:val="en-US"/>
        </w:rPr>
        <w:t>29/11/2021</w:t>
      </w:r>
    </w:p>
    <w:p w14:paraId="5A3E82EA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B313C4D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5572101F" w14:textId="77777777" w:rsidR="00D468F2" w:rsidRPr="00CA7DC6" w:rsidRDefault="00D468F2" w:rsidP="00D468F2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14:paraId="169D2808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b/>
          <w:sz w:val="24"/>
          <w:szCs w:val="20"/>
          <w:lang w:val="en-US"/>
        </w:rPr>
        <w:t>Declaration</w:t>
      </w:r>
    </w:p>
    <w:p w14:paraId="26158B4E" w14:textId="77777777" w:rsidR="009E2F46" w:rsidRPr="00CA7DC6" w:rsidRDefault="009E2F46" w:rsidP="00D468F2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38E055B" w14:textId="77777777" w:rsidR="009E2F46" w:rsidRPr="00EE66EF" w:rsidRDefault="009E2F46" w:rsidP="00D468F2">
      <w:pPr>
        <w:spacing w:line="360" w:lineRule="auto"/>
        <w:jc w:val="both"/>
        <w:rPr>
          <w:rFonts w:ascii="Georgia" w:hAnsi="Georgia" w:cs="Arial"/>
          <w:color w:val="000000"/>
          <w:sz w:val="24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CA7DC6">
        <w:rPr>
          <w:rFonts w:ascii="Arial" w:eastAsia="Times New Roman" w:hAnsi="Arial" w:cs="Arial"/>
          <w:sz w:val="24"/>
          <w:szCs w:val="20"/>
          <w:lang w:val="en-US"/>
        </w:rPr>
        <w:t>person, and</w:t>
      </w:r>
      <w:proofErr w:type="gramEnd"/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1A703B9E" w14:textId="1A80CFB7" w:rsidR="009E2F46" w:rsidRDefault="0043294D" w:rsidP="00A179E4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A5606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Thesis Statement:</w:t>
      </w:r>
      <w:r w:rsidR="0066555D" w:rsidRPr="004A5606">
        <w:rPr>
          <w:rFonts w:ascii="Arial" w:hAnsi="Arial" w:cs="Arial"/>
          <w:i/>
          <w:iCs/>
          <w:sz w:val="24"/>
          <w:szCs w:val="24"/>
        </w:rPr>
        <w:t xml:space="preserve"> </w:t>
      </w:r>
      <w:r w:rsidR="004A5606" w:rsidRPr="004A5606">
        <w:rPr>
          <w:rFonts w:ascii="Arial" w:hAnsi="Arial" w:cs="Arial"/>
          <w:i/>
          <w:iCs/>
          <w:sz w:val="24"/>
          <w:szCs w:val="24"/>
        </w:rPr>
        <w:t>Private aviation services have been presented with opportunities by the pandemic. Companies within the industry should innovate and reinvent their strategies to tap into a wider high-income consumer base.</w:t>
      </w:r>
    </w:p>
    <w:p w14:paraId="07D7F6E2" w14:textId="0CCCAE36" w:rsidR="00100F4A" w:rsidRDefault="00100F4A" w:rsidP="00A179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B2C">
        <w:rPr>
          <w:rFonts w:ascii="Arial" w:hAnsi="Arial" w:cs="Arial"/>
          <w:b/>
          <w:bCs/>
          <w:sz w:val="24"/>
          <w:szCs w:val="24"/>
        </w:rPr>
        <w:t>Fong, M. (2021) Wheels Up Experience Inc. (UP, Buy, $13 PT) [PDF]. United States: BTIG. pp 1-28</w:t>
      </w:r>
    </w:p>
    <w:p w14:paraId="0644BF20" w14:textId="23355DB6" w:rsidR="004B3B2C" w:rsidRDefault="001A66DB" w:rsidP="00A179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</w:t>
      </w:r>
      <w:r w:rsidR="00195017">
        <w:rPr>
          <w:rFonts w:ascii="Arial" w:hAnsi="Arial" w:cs="Arial"/>
          <w:sz w:val="24"/>
          <w:szCs w:val="24"/>
        </w:rPr>
        <w:t>is an in-depth stock evaluation of Wheels Up – one of the ten largest private jet ope</w:t>
      </w:r>
      <w:r w:rsidR="00221F84">
        <w:rPr>
          <w:rFonts w:ascii="Arial" w:hAnsi="Arial" w:cs="Arial"/>
          <w:sz w:val="24"/>
          <w:szCs w:val="24"/>
        </w:rPr>
        <w:t xml:space="preserve">rators in the </w:t>
      </w:r>
      <w:r w:rsidR="00705474">
        <w:rPr>
          <w:rFonts w:ascii="Arial" w:hAnsi="Arial" w:cs="Arial"/>
          <w:sz w:val="24"/>
          <w:szCs w:val="24"/>
        </w:rPr>
        <w:t>US</w:t>
      </w:r>
      <w:r w:rsidR="00221F84">
        <w:rPr>
          <w:rFonts w:ascii="Arial" w:hAnsi="Arial" w:cs="Arial"/>
          <w:sz w:val="24"/>
          <w:szCs w:val="24"/>
        </w:rPr>
        <w:t xml:space="preserve">. </w:t>
      </w:r>
      <w:r w:rsidR="009925E7">
        <w:rPr>
          <w:rFonts w:ascii="Arial" w:hAnsi="Arial" w:cs="Arial"/>
          <w:sz w:val="24"/>
          <w:szCs w:val="24"/>
        </w:rPr>
        <w:t>The author initially</w:t>
      </w:r>
      <w:r w:rsidR="00A660FE">
        <w:rPr>
          <w:rFonts w:ascii="Arial" w:hAnsi="Arial" w:cs="Arial"/>
          <w:sz w:val="24"/>
          <w:szCs w:val="24"/>
        </w:rPr>
        <w:t xml:space="preserve"> </w:t>
      </w:r>
      <w:r w:rsidR="00156B10">
        <w:rPr>
          <w:rFonts w:ascii="Arial" w:hAnsi="Arial" w:cs="Arial"/>
          <w:sz w:val="24"/>
          <w:szCs w:val="24"/>
        </w:rPr>
        <w:t xml:space="preserve">gives an overview </w:t>
      </w:r>
      <w:r w:rsidR="00692FC6">
        <w:rPr>
          <w:rFonts w:ascii="Arial" w:hAnsi="Arial" w:cs="Arial"/>
          <w:sz w:val="24"/>
          <w:szCs w:val="24"/>
        </w:rPr>
        <w:t>of</w:t>
      </w:r>
      <w:r w:rsidR="00156B10">
        <w:rPr>
          <w:rFonts w:ascii="Arial" w:hAnsi="Arial" w:cs="Arial"/>
          <w:sz w:val="24"/>
          <w:szCs w:val="24"/>
        </w:rPr>
        <w:t xml:space="preserve"> the US private aviation industry</w:t>
      </w:r>
      <w:r w:rsidR="00692FC6">
        <w:rPr>
          <w:rFonts w:ascii="Arial" w:hAnsi="Arial" w:cs="Arial"/>
          <w:sz w:val="24"/>
          <w:szCs w:val="24"/>
        </w:rPr>
        <w:t xml:space="preserve">, covering information about the industry size by </w:t>
      </w:r>
      <w:r w:rsidR="00FC28E9">
        <w:rPr>
          <w:rFonts w:ascii="Arial" w:hAnsi="Arial" w:cs="Arial"/>
          <w:sz w:val="24"/>
          <w:szCs w:val="24"/>
        </w:rPr>
        <w:t>revenue</w:t>
      </w:r>
      <w:r w:rsidR="00A179E4">
        <w:rPr>
          <w:rFonts w:ascii="Arial" w:hAnsi="Arial" w:cs="Arial"/>
          <w:sz w:val="24"/>
          <w:szCs w:val="24"/>
        </w:rPr>
        <w:t xml:space="preserve"> and</w:t>
      </w:r>
      <w:r w:rsidR="00FC28E9">
        <w:rPr>
          <w:rFonts w:ascii="Arial" w:hAnsi="Arial" w:cs="Arial"/>
          <w:sz w:val="24"/>
          <w:szCs w:val="24"/>
        </w:rPr>
        <w:t xml:space="preserve"> the impact of COVID-19 on the </w:t>
      </w:r>
      <w:r w:rsidR="005C2AF1">
        <w:rPr>
          <w:rFonts w:ascii="Arial" w:hAnsi="Arial" w:cs="Arial"/>
          <w:sz w:val="24"/>
          <w:szCs w:val="24"/>
        </w:rPr>
        <w:t>industry a</w:t>
      </w:r>
      <w:r w:rsidR="001D7CB6">
        <w:rPr>
          <w:rFonts w:ascii="Arial" w:hAnsi="Arial" w:cs="Arial"/>
          <w:sz w:val="24"/>
          <w:szCs w:val="24"/>
        </w:rPr>
        <w:t>s well as</w:t>
      </w:r>
      <w:r w:rsidR="005C2AF1">
        <w:rPr>
          <w:rFonts w:ascii="Arial" w:hAnsi="Arial" w:cs="Arial"/>
          <w:sz w:val="24"/>
          <w:szCs w:val="24"/>
        </w:rPr>
        <w:t xml:space="preserve"> listing major </w:t>
      </w:r>
      <w:r w:rsidR="003A3705">
        <w:rPr>
          <w:rFonts w:ascii="Arial" w:hAnsi="Arial" w:cs="Arial"/>
          <w:sz w:val="24"/>
          <w:szCs w:val="24"/>
        </w:rPr>
        <w:t xml:space="preserve">private jet operators </w:t>
      </w:r>
      <w:r w:rsidR="001D7CB6">
        <w:rPr>
          <w:rFonts w:ascii="Arial" w:hAnsi="Arial" w:cs="Arial"/>
          <w:sz w:val="24"/>
          <w:szCs w:val="24"/>
        </w:rPr>
        <w:t xml:space="preserve">and their </w:t>
      </w:r>
      <w:r w:rsidR="004E1E97">
        <w:rPr>
          <w:rFonts w:ascii="Arial" w:hAnsi="Arial" w:cs="Arial"/>
          <w:sz w:val="24"/>
          <w:szCs w:val="24"/>
        </w:rPr>
        <w:t xml:space="preserve">business models. </w:t>
      </w:r>
      <w:r w:rsidR="00B54B73">
        <w:rPr>
          <w:rFonts w:ascii="Arial" w:hAnsi="Arial" w:cs="Arial"/>
          <w:sz w:val="24"/>
          <w:szCs w:val="24"/>
        </w:rPr>
        <w:t>The author</w:t>
      </w:r>
      <w:r w:rsidR="004E1E97">
        <w:rPr>
          <w:rFonts w:ascii="Arial" w:hAnsi="Arial" w:cs="Arial"/>
          <w:sz w:val="24"/>
          <w:szCs w:val="24"/>
        </w:rPr>
        <w:t xml:space="preserve"> </w:t>
      </w:r>
      <w:r w:rsidR="00D6075E">
        <w:rPr>
          <w:rFonts w:ascii="Arial" w:hAnsi="Arial" w:cs="Arial"/>
          <w:sz w:val="24"/>
          <w:szCs w:val="24"/>
        </w:rPr>
        <w:t xml:space="preserve">then </w:t>
      </w:r>
      <w:r w:rsidR="00D425D4">
        <w:rPr>
          <w:rFonts w:ascii="Arial" w:hAnsi="Arial" w:cs="Arial"/>
          <w:sz w:val="24"/>
          <w:szCs w:val="24"/>
        </w:rPr>
        <w:t xml:space="preserve">details the operation of Wheels Up </w:t>
      </w:r>
      <w:r w:rsidR="00D551EF">
        <w:rPr>
          <w:rFonts w:ascii="Arial" w:hAnsi="Arial" w:cs="Arial"/>
          <w:sz w:val="24"/>
          <w:szCs w:val="24"/>
        </w:rPr>
        <w:t xml:space="preserve">and explains why the company is </w:t>
      </w:r>
      <w:r w:rsidR="00BF1145">
        <w:rPr>
          <w:rFonts w:ascii="Arial" w:hAnsi="Arial" w:cs="Arial"/>
          <w:sz w:val="24"/>
          <w:szCs w:val="24"/>
        </w:rPr>
        <w:t xml:space="preserve">at an advantage over others by </w:t>
      </w:r>
      <w:r w:rsidR="003467F9">
        <w:rPr>
          <w:rFonts w:ascii="Arial" w:hAnsi="Arial" w:cs="Arial"/>
          <w:sz w:val="24"/>
          <w:szCs w:val="24"/>
        </w:rPr>
        <w:t>highlighting</w:t>
      </w:r>
      <w:r w:rsidR="00BF1145">
        <w:rPr>
          <w:rFonts w:ascii="Arial" w:hAnsi="Arial" w:cs="Arial"/>
          <w:sz w:val="24"/>
          <w:szCs w:val="24"/>
        </w:rPr>
        <w:t xml:space="preserve"> its innovative business model, its integration of AI and </w:t>
      </w:r>
      <w:r w:rsidR="00265BD7">
        <w:rPr>
          <w:rFonts w:ascii="Arial" w:hAnsi="Arial" w:cs="Arial"/>
          <w:sz w:val="24"/>
          <w:szCs w:val="24"/>
        </w:rPr>
        <w:t>cloud-based flight management system, and its recent ac</w:t>
      </w:r>
      <w:r w:rsidR="003467F9">
        <w:rPr>
          <w:rFonts w:ascii="Arial" w:hAnsi="Arial" w:cs="Arial"/>
          <w:sz w:val="24"/>
          <w:szCs w:val="24"/>
        </w:rPr>
        <w:t xml:space="preserve">quisitions. </w:t>
      </w:r>
      <w:r w:rsidR="00040F3F">
        <w:rPr>
          <w:rFonts w:ascii="Arial" w:hAnsi="Arial" w:cs="Arial"/>
          <w:sz w:val="24"/>
          <w:szCs w:val="24"/>
        </w:rPr>
        <w:t>Throughout the paper,</w:t>
      </w:r>
      <w:r w:rsidR="007E56AF">
        <w:rPr>
          <w:rFonts w:ascii="Arial" w:hAnsi="Arial" w:cs="Arial"/>
          <w:sz w:val="24"/>
          <w:szCs w:val="24"/>
        </w:rPr>
        <w:t xml:space="preserve"> the author makes extensive use of </w:t>
      </w:r>
      <w:r w:rsidR="003005B4">
        <w:rPr>
          <w:rFonts w:ascii="Arial" w:hAnsi="Arial" w:cs="Arial"/>
          <w:sz w:val="24"/>
          <w:szCs w:val="24"/>
        </w:rPr>
        <w:t xml:space="preserve">statistical data to </w:t>
      </w:r>
      <w:r w:rsidR="00500258">
        <w:rPr>
          <w:rFonts w:ascii="Arial" w:hAnsi="Arial" w:cs="Arial"/>
          <w:sz w:val="24"/>
          <w:szCs w:val="24"/>
        </w:rPr>
        <w:t>support his assertions</w:t>
      </w:r>
      <w:r w:rsidR="00B46398">
        <w:rPr>
          <w:rFonts w:ascii="Arial" w:hAnsi="Arial" w:cs="Arial"/>
          <w:sz w:val="24"/>
          <w:szCs w:val="24"/>
        </w:rPr>
        <w:t>, including data about the</w:t>
      </w:r>
      <w:r w:rsidR="008610CB">
        <w:rPr>
          <w:rFonts w:ascii="Arial" w:hAnsi="Arial" w:cs="Arial"/>
          <w:sz w:val="24"/>
          <w:szCs w:val="24"/>
        </w:rPr>
        <w:t xml:space="preserve"> private aviation</w:t>
      </w:r>
      <w:r w:rsidR="00B46398">
        <w:rPr>
          <w:rFonts w:ascii="Arial" w:hAnsi="Arial" w:cs="Arial"/>
          <w:sz w:val="24"/>
          <w:szCs w:val="24"/>
        </w:rPr>
        <w:t xml:space="preserve"> stock market as well as data gathered from </w:t>
      </w:r>
      <w:r w:rsidR="00335689">
        <w:rPr>
          <w:rFonts w:ascii="Arial" w:hAnsi="Arial" w:cs="Arial"/>
          <w:sz w:val="24"/>
          <w:szCs w:val="24"/>
        </w:rPr>
        <w:t xml:space="preserve">major jet operators and auditing firms. </w:t>
      </w:r>
      <w:r w:rsidR="00C05D6A">
        <w:rPr>
          <w:rFonts w:ascii="Arial" w:hAnsi="Arial" w:cs="Arial"/>
          <w:sz w:val="24"/>
          <w:szCs w:val="24"/>
        </w:rPr>
        <w:t xml:space="preserve">This research is significant to </w:t>
      </w:r>
      <w:r w:rsidR="008E7481">
        <w:rPr>
          <w:rFonts w:ascii="Arial" w:hAnsi="Arial" w:cs="Arial"/>
          <w:sz w:val="24"/>
          <w:szCs w:val="24"/>
        </w:rPr>
        <w:t>the writing of the Academic Report</w:t>
      </w:r>
      <w:r w:rsidR="00EF48AA">
        <w:rPr>
          <w:rFonts w:ascii="Arial" w:hAnsi="Arial" w:cs="Arial"/>
          <w:sz w:val="24"/>
          <w:szCs w:val="24"/>
        </w:rPr>
        <w:t xml:space="preserve"> (AR)</w:t>
      </w:r>
      <w:r w:rsidR="008E7481">
        <w:rPr>
          <w:rFonts w:ascii="Arial" w:hAnsi="Arial" w:cs="Arial"/>
          <w:sz w:val="24"/>
          <w:szCs w:val="24"/>
        </w:rPr>
        <w:t xml:space="preserve"> because it successfully detail</w:t>
      </w:r>
      <w:r w:rsidR="001F497A">
        <w:rPr>
          <w:rFonts w:ascii="Arial" w:hAnsi="Arial" w:cs="Arial"/>
          <w:sz w:val="24"/>
          <w:szCs w:val="24"/>
        </w:rPr>
        <w:t xml:space="preserve">s the background and situation of the targeted industry as well as provides </w:t>
      </w:r>
      <w:r w:rsidR="009C65C2">
        <w:rPr>
          <w:rFonts w:ascii="Arial" w:hAnsi="Arial" w:cs="Arial"/>
          <w:sz w:val="24"/>
          <w:szCs w:val="24"/>
        </w:rPr>
        <w:t xml:space="preserve">a comprehensive example of </w:t>
      </w:r>
      <w:r w:rsidR="001E76C8">
        <w:rPr>
          <w:rFonts w:ascii="Arial" w:hAnsi="Arial" w:cs="Arial"/>
          <w:sz w:val="24"/>
          <w:szCs w:val="24"/>
        </w:rPr>
        <w:t xml:space="preserve">a company </w:t>
      </w:r>
      <w:r w:rsidR="00047468">
        <w:rPr>
          <w:rFonts w:ascii="Arial" w:hAnsi="Arial" w:cs="Arial"/>
          <w:sz w:val="24"/>
          <w:szCs w:val="24"/>
        </w:rPr>
        <w:t>that</w:t>
      </w:r>
      <w:r w:rsidR="001E76C8">
        <w:rPr>
          <w:rFonts w:ascii="Arial" w:hAnsi="Arial" w:cs="Arial"/>
          <w:sz w:val="24"/>
          <w:szCs w:val="24"/>
        </w:rPr>
        <w:t xml:space="preserve"> utilizes the </w:t>
      </w:r>
      <w:r w:rsidR="00047468">
        <w:rPr>
          <w:rFonts w:ascii="Arial" w:hAnsi="Arial" w:cs="Arial"/>
          <w:sz w:val="24"/>
          <w:szCs w:val="24"/>
        </w:rPr>
        <w:t>opportunities given by COVID-19.</w:t>
      </w:r>
    </w:p>
    <w:p w14:paraId="31F2A4E1" w14:textId="16E4D4AE" w:rsidR="00C75AF3" w:rsidRDefault="007D32F3" w:rsidP="00A179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32F3">
        <w:rPr>
          <w:rFonts w:ascii="Arial" w:hAnsi="Arial" w:cs="Arial"/>
          <w:b/>
          <w:bCs/>
          <w:sz w:val="24"/>
          <w:szCs w:val="24"/>
        </w:rPr>
        <w:t xml:space="preserve">Ju, S., Seidman, T. &amp; Yoshida-Are, F. (2021) Wheels Up – Non-Members Prepare for </w:t>
      </w:r>
      <w:proofErr w:type="gramStart"/>
      <w:r w:rsidRPr="007D32F3">
        <w:rPr>
          <w:rFonts w:ascii="Arial" w:hAnsi="Arial" w:cs="Arial"/>
          <w:b/>
          <w:bCs/>
          <w:sz w:val="24"/>
          <w:szCs w:val="24"/>
        </w:rPr>
        <w:t>Take-Off;</w:t>
      </w:r>
      <w:proofErr w:type="gramEnd"/>
      <w:r w:rsidRPr="007D32F3">
        <w:rPr>
          <w:rFonts w:ascii="Arial" w:hAnsi="Arial" w:cs="Arial"/>
          <w:b/>
          <w:bCs/>
          <w:sz w:val="24"/>
          <w:szCs w:val="24"/>
        </w:rPr>
        <w:t xml:space="preserve"> Unlocking TAM Expansion Potential with New Cohort [PDF]. United States: Credit Suisse. pp. 2-39</w:t>
      </w:r>
    </w:p>
    <w:p w14:paraId="63BFE416" w14:textId="7A98749D" w:rsidR="00E135D1" w:rsidRDefault="00632F72" w:rsidP="00A179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is </w:t>
      </w:r>
      <w:proofErr w:type="gramStart"/>
      <w:r>
        <w:rPr>
          <w:rFonts w:ascii="Arial" w:hAnsi="Arial" w:cs="Arial"/>
          <w:sz w:val="24"/>
          <w:szCs w:val="24"/>
        </w:rPr>
        <w:t>similar to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186F0C">
        <w:rPr>
          <w:rFonts w:ascii="Arial" w:hAnsi="Arial" w:cs="Arial"/>
          <w:sz w:val="24"/>
          <w:szCs w:val="24"/>
        </w:rPr>
        <w:t xml:space="preserve"> aforementioned research</w:t>
      </w:r>
      <w:r>
        <w:rPr>
          <w:rFonts w:ascii="Arial" w:hAnsi="Arial" w:cs="Arial"/>
          <w:sz w:val="24"/>
          <w:szCs w:val="24"/>
        </w:rPr>
        <w:t xml:space="preserve"> for it </w:t>
      </w:r>
      <w:r w:rsidR="003B7458">
        <w:rPr>
          <w:rFonts w:ascii="Arial" w:hAnsi="Arial" w:cs="Arial"/>
          <w:sz w:val="24"/>
          <w:szCs w:val="24"/>
        </w:rPr>
        <w:t>details the functioning of the industry as well as cove</w:t>
      </w:r>
      <w:r w:rsidR="00516DD5">
        <w:rPr>
          <w:rFonts w:ascii="Arial" w:hAnsi="Arial" w:cs="Arial"/>
          <w:sz w:val="24"/>
          <w:szCs w:val="24"/>
        </w:rPr>
        <w:t xml:space="preserve">rs the main advantages Wheel Up has over other operators. </w:t>
      </w:r>
      <w:r w:rsidR="00E34708">
        <w:rPr>
          <w:rFonts w:ascii="Arial" w:hAnsi="Arial" w:cs="Arial"/>
          <w:sz w:val="24"/>
          <w:szCs w:val="24"/>
        </w:rPr>
        <w:t>In addition</w:t>
      </w:r>
      <w:r w:rsidR="00C935B2">
        <w:rPr>
          <w:rFonts w:ascii="Arial" w:hAnsi="Arial" w:cs="Arial"/>
          <w:sz w:val="24"/>
          <w:szCs w:val="24"/>
        </w:rPr>
        <w:t xml:space="preserve">, the authors </w:t>
      </w:r>
      <w:r w:rsidR="007F242D">
        <w:rPr>
          <w:rFonts w:ascii="Arial" w:hAnsi="Arial" w:cs="Arial"/>
          <w:sz w:val="24"/>
          <w:szCs w:val="24"/>
        </w:rPr>
        <w:t xml:space="preserve">focus further on the </w:t>
      </w:r>
      <w:r w:rsidR="00E34708">
        <w:rPr>
          <w:rFonts w:ascii="Arial" w:hAnsi="Arial" w:cs="Arial"/>
          <w:sz w:val="24"/>
          <w:szCs w:val="24"/>
        </w:rPr>
        <w:t xml:space="preserve">growing </w:t>
      </w:r>
      <w:r w:rsidR="00C87A2E">
        <w:rPr>
          <w:rFonts w:ascii="Arial" w:hAnsi="Arial" w:cs="Arial"/>
          <w:sz w:val="24"/>
          <w:szCs w:val="24"/>
        </w:rPr>
        <w:t xml:space="preserve">public attention for private aviation and hypothesize multiple scenarios for Wheels Up in a post-pandemic economy. </w:t>
      </w:r>
      <w:r w:rsidR="004157A9">
        <w:rPr>
          <w:rFonts w:ascii="Arial" w:hAnsi="Arial" w:cs="Arial"/>
          <w:sz w:val="24"/>
          <w:szCs w:val="24"/>
        </w:rPr>
        <w:t xml:space="preserve">The </w:t>
      </w:r>
      <w:r w:rsidR="003C0C7F">
        <w:rPr>
          <w:rFonts w:ascii="Arial" w:hAnsi="Arial" w:cs="Arial"/>
          <w:sz w:val="24"/>
          <w:szCs w:val="24"/>
        </w:rPr>
        <w:t>research</w:t>
      </w:r>
      <w:r w:rsidR="004157A9">
        <w:rPr>
          <w:rFonts w:ascii="Arial" w:hAnsi="Arial" w:cs="Arial"/>
          <w:sz w:val="24"/>
          <w:szCs w:val="24"/>
        </w:rPr>
        <w:t xml:space="preserve"> begins with </w:t>
      </w:r>
      <w:r w:rsidR="004E2F18">
        <w:rPr>
          <w:rFonts w:ascii="Arial" w:hAnsi="Arial" w:cs="Arial"/>
          <w:sz w:val="24"/>
          <w:szCs w:val="24"/>
        </w:rPr>
        <w:t>an</w:t>
      </w:r>
      <w:r w:rsidR="004157A9">
        <w:rPr>
          <w:rFonts w:ascii="Arial" w:hAnsi="Arial" w:cs="Arial"/>
          <w:sz w:val="24"/>
          <w:szCs w:val="24"/>
        </w:rPr>
        <w:t xml:space="preserve"> overview </w:t>
      </w:r>
      <w:r w:rsidR="00E54482">
        <w:rPr>
          <w:rFonts w:ascii="Arial" w:hAnsi="Arial" w:cs="Arial"/>
          <w:sz w:val="24"/>
          <w:szCs w:val="24"/>
        </w:rPr>
        <w:t xml:space="preserve">of the company, detailing its </w:t>
      </w:r>
      <w:r w:rsidR="004E2F18">
        <w:rPr>
          <w:rFonts w:ascii="Arial" w:hAnsi="Arial" w:cs="Arial"/>
          <w:sz w:val="24"/>
          <w:szCs w:val="24"/>
        </w:rPr>
        <w:t xml:space="preserve">business model evolution </w:t>
      </w:r>
      <w:r w:rsidR="00005569">
        <w:rPr>
          <w:rFonts w:ascii="Arial" w:hAnsi="Arial" w:cs="Arial"/>
          <w:sz w:val="24"/>
          <w:szCs w:val="24"/>
        </w:rPr>
        <w:t>and revenue distribution</w:t>
      </w:r>
      <w:r w:rsidR="003C0C7F">
        <w:rPr>
          <w:rFonts w:ascii="Arial" w:hAnsi="Arial" w:cs="Arial"/>
          <w:sz w:val="24"/>
          <w:szCs w:val="24"/>
        </w:rPr>
        <w:t xml:space="preserve">. It then </w:t>
      </w:r>
      <w:r w:rsidR="00785FB2">
        <w:rPr>
          <w:rFonts w:ascii="Arial" w:hAnsi="Arial" w:cs="Arial"/>
          <w:sz w:val="24"/>
          <w:szCs w:val="24"/>
        </w:rPr>
        <w:t xml:space="preserve">covers the history and current situation of the industry as well as puts </w:t>
      </w:r>
      <w:r w:rsidR="001248A0">
        <w:rPr>
          <w:rFonts w:ascii="Arial" w:hAnsi="Arial" w:cs="Arial"/>
          <w:sz w:val="24"/>
          <w:szCs w:val="24"/>
        </w:rPr>
        <w:t>heavy emphasis on the potential total addressable market accumulated by the advent of COVID-19.</w:t>
      </w:r>
      <w:r w:rsidR="006F5D3D">
        <w:rPr>
          <w:rFonts w:ascii="Arial" w:hAnsi="Arial" w:cs="Arial"/>
          <w:sz w:val="24"/>
          <w:szCs w:val="24"/>
        </w:rPr>
        <w:t xml:space="preserve"> For this paper, the authors </w:t>
      </w:r>
      <w:r w:rsidR="00B4515E">
        <w:rPr>
          <w:rFonts w:ascii="Arial" w:hAnsi="Arial" w:cs="Arial"/>
          <w:sz w:val="24"/>
          <w:szCs w:val="24"/>
        </w:rPr>
        <w:t xml:space="preserve">utilize statistical </w:t>
      </w:r>
      <w:r w:rsidR="00906D16">
        <w:rPr>
          <w:rFonts w:ascii="Arial" w:hAnsi="Arial" w:cs="Arial"/>
          <w:sz w:val="24"/>
          <w:szCs w:val="24"/>
        </w:rPr>
        <w:t>resources from data</w:t>
      </w:r>
      <w:r w:rsidR="004A0E1B">
        <w:rPr>
          <w:rFonts w:ascii="Arial" w:hAnsi="Arial" w:cs="Arial"/>
          <w:sz w:val="24"/>
          <w:szCs w:val="24"/>
        </w:rPr>
        <w:t xml:space="preserve"> published by companies</w:t>
      </w:r>
      <w:r w:rsidR="00906D16">
        <w:rPr>
          <w:rFonts w:ascii="Arial" w:hAnsi="Arial" w:cs="Arial"/>
          <w:sz w:val="24"/>
          <w:szCs w:val="24"/>
        </w:rPr>
        <w:t xml:space="preserve"> </w:t>
      </w:r>
      <w:r w:rsidR="00794D54">
        <w:rPr>
          <w:rFonts w:ascii="Arial" w:hAnsi="Arial" w:cs="Arial"/>
          <w:sz w:val="24"/>
          <w:szCs w:val="24"/>
        </w:rPr>
        <w:t xml:space="preserve">and address the bigger picture </w:t>
      </w:r>
      <w:r w:rsidR="00DF6780">
        <w:rPr>
          <w:rFonts w:ascii="Arial" w:hAnsi="Arial" w:cs="Arial"/>
          <w:sz w:val="24"/>
          <w:szCs w:val="24"/>
        </w:rPr>
        <w:t xml:space="preserve">by </w:t>
      </w:r>
      <w:r w:rsidR="00794D54">
        <w:rPr>
          <w:rFonts w:ascii="Arial" w:hAnsi="Arial" w:cs="Arial"/>
          <w:sz w:val="24"/>
          <w:szCs w:val="24"/>
        </w:rPr>
        <w:t>evaluating</w:t>
      </w:r>
      <w:r w:rsidR="00DF6780">
        <w:rPr>
          <w:rFonts w:ascii="Arial" w:hAnsi="Arial" w:cs="Arial"/>
          <w:sz w:val="24"/>
          <w:szCs w:val="24"/>
        </w:rPr>
        <w:t xml:space="preserve"> both the positive and the negative prospects of the industry</w:t>
      </w:r>
      <w:r w:rsidR="009856EB">
        <w:rPr>
          <w:rFonts w:ascii="Arial" w:hAnsi="Arial" w:cs="Arial"/>
          <w:sz w:val="24"/>
          <w:szCs w:val="24"/>
        </w:rPr>
        <w:t xml:space="preserve">. </w:t>
      </w:r>
      <w:r w:rsidR="006610E8">
        <w:rPr>
          <w:rFonts w:ascii="Arial" w:hAnsi="Arial" w:cs="Arial"/>
          <w:sz w:val="24"/>
          <w:szCs w:val="24"/>
        </w:rPr>
        <w:t xml:space="preserve">Because of </w:t>
      </w:r>
      <w:r w:rsidR="006610E8">
        <w:rPr>
          <w:rFonts w:ascii="Arial" w:hAnsi="Arial" w:cs="Arial"/>
          <w:sz w:val="24"/>
          <w:szCs w:val="24"/>
        </w:rPr>
        <w:lastRenderedPageBreak/>
        <w:t>that, this research is useful for the AR</w:t>
      </w:r>
      <w:r w:rsidR="00DF6780">
        <w:rPr>
          <w:rFonts w:ascii="Arial" w:hAnsi="Arial" w:cs="Arial"/>
          <w:sz w:val="24"/>
          <w:szCs w:val="24"/>
        </w:rPr>
        <w:t xml:space="preserve"> for it </w:t>
      </w:r>
      <w:r w:rsidR="0096510A">
        <w:rPr>
          <w:rFonts w:ascii="Arial" w:hAnsi="Arial" w:cs="Arial"/>
          <w:sz w:val="24"/>
          <w:szCs w:val="24"/>
        </w:rPr>
        <w:t>helps in</w:t>
      </w:r>
      <w:r w:rsidR="002F40CF">
        <w:rPr>
          <w:rFonts w:ascii="Arial" w:hAnsi="Arial" w:cs="Arial"/>
          <w:sz w:val="24"/>
          <w:szCs w:val="24"/>
        </w:rPr>
        <w:t xml:space="preserve"> anticipating</w:t>
      </w:r>
      <w:r w:rsidR="0096510A">
        <w:rPr>
          <w:rFonts w:ascii="Arial" w:hAnsi="Arial" w:cs="Arial"/>
          <w:sz w:val="24"/>
          <w:szCs w:val="24"/>
        </w:rPr>
        <w:t xml:space="preserve"> </w:t>
      </w:r>
      <w:r w:rsidR="00445D8F">
        <w:rPr>
          <w:rFonts w:ascii="Arial" w:hAnsi="Arial" w:cs="Arial"/>
          <w:sz w:val="24"/>
          <w:szCs w:val="24"/>
        </w:rPr>
        <w:t>the qualification and counterarguments</w:t>
      </w:r>
      <w:r w:rsidR="00CD0ABD">
        <w:rPr>
          <w:rFonts w:ascii="Arial" w:hAnsi="Arial" w:cs="Arial"/>
          <w:sz w:val="24"/>
          <w:szCs w:val="24"/>
        </w:rPr>
        <w:t xml:space="preserve"> </w:t>
      </w:r>
      <w:r w:rsidR="00107181">
        <w:rPr>
          <w:rFonts w:ascii="Arial" w:hAnsi="Arial" w:cs="Arial"/>
          <w:sz w:val="24"/>
          <w:szCs w:val="24"/>
        </w:rPr>
        <w:t>about</w:t>
      </w:r>
      <w:r w:rsidR="00CD0ABD">
        <w:rPr>
          <w:rFonts w:ascii="Arial" w:hAnsi="Arial" w:cs="Arial"/>
          <w:sz w:val="24"/>
          <w:szCs w:val="24"/>
        </w:rPr>
        <w:t xml:space="preserve"> the growth of jet operators in a post-pandemic world.</w:t>
      </w:r>
    </w:p>
    <w:p w14:paraId="45BEA159" w14:textId="2D0A6CA5" w:rsidR="00107181" w:rsidRDefault="006E33B0" w:rsidP="0034564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5641">
        <w:rPr>
          <w:rFonts w:ascii="Arial" w:hAnsi="Arial" w:cs="Arial"/>
          <w:b/>
          <w:bCs/>
          <w:sz w:val="24"/>
          <w:szCs w:val="24"/>
        </w:rPr>
        <w:t>Gitman</w:t>
      </w:r>
      <w:proofErr w:type="spellEnd"/>
      <w:r w:rsidRPr="00345641">
        <w:rPr>
          <w:rFonts w:ascii="Arial" w:hAnsi="Arial" w:cs="Arial"/>
          <w:b/>
          <w:bCs/>
          <w:sz w:val="24"/>
          <w:szCs w:val="24"/>
        </w:rPr>
        <w:t>, D. (2021) ‘How private aviation has become the new normal.’ International Airport Review [Online]. Available from: https://www.internationalairportreview.com/article/161723/how-private-aviation-has-become-the-new-normal/ [Accessed on 25 November 2021].</w:t>
      </w:r>
    </w:p>
    <w:p w14:paraId="03F6C286" w14:textId="4DF65550" w:rsidR="00331953" w:rsidRDefault="00331953" w:rsidP="0034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online article is written by </w:t>
      </w:r>
      <w:r w:rsidR="00DC6B4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President of Monarch Air Group</w:t>
      </w:r>
      <w:r w:rsidR="00DC6B4D">
        <w:rPr>
          <w:rFonts w:ascii="Arial" w:hAnsi="Arial" w:cs="Arial"/>
          <w:sz w:val="24"/>
          <w:szCs w:val="24"/>
        </w:rPr>
        <w:t xml:space="preserve"> – a well-established private jet charter service provider</w:t>
      </w:r>
      <w:r w:rsidR="00C677E0">
        <w:rPr>
          <w:rFonts w:ascii="Arial" w:hAnsi="Arial" w:cs="Arial"/>
          <w:sz w:val="24"/>
          <w:szCs w:val="24"/>
        </w:rPr>
        <w:t xml:space="preserve"> operating since 2006 – to </w:t>
      </w:r>
      <w:r w:rsidR="002D0AEB">
        <w:rPr>
          <w:rFonts w:ascii="Arial" w:hAnsi="Arial" w:cs="Arial"/>
          <w:sz w:val="24"/>
          <w:szCs w:val="24"/>
        </w:rPr>
        <w:t>examine how private aviation</w:t>
      </w:r>
      <w:r w:rsidR="00373E5C">
        <w:rPr>
          <w:rFonts w:ascii="Arial" w:hAnsi="Arial" w:cs="Arial"/>
          <w:sz w:val="24"/>
          <w:szCs w:val="24"/>
        </w:rPr>
        <w:t xml:space="preserve"> in the US</w:t>
      </w:r>
      <w:r w:rsidR="002D0AEB">
        <w:rPr>
          <w:rFonts w:ascii="Arial" w:hAnsi="Arial" w:cs="Arial"/>
          <w:sz w:val="24"/>
          <w:szCs w:val="24"/>
        </w:rPr>
        <w:t xml:space="preserve"> has become the first option for customers during the pandemic. </w:t>
      </w:r>
      <w:r w:rsidR="00501FB4">
        <w:rPr>
          <w:rFonts w:ascii="Arial" w:hAnsi="Arial" w:cs="Arial"/>
          <w:sz w:val="24"/>
          <w:szCs w:val="24"/>
        </w:rPr>
        <w:t xml:space="preserve">Throughout the article, the author highlights the </w:t>
      </w:r>
      <w:r w:rsidR="008C0961">
        <w:rPr>
          <w:rFonts w:ascii="Arial" w:hAnsi="Arial" w:cs="Arial"/>
          <w:sz w:val="24"/>
          <w:szCs w:val="24"/>
        </w:rPr>
        <w:t>shifts in the aviation industry regarding c</w:t>
      </w:r>
      <w:r w:rsidR="005F2D3F">
        <w:rPr>
          <w:rFonts w:ascii="Arial" w:hAnsi="Arial" w:cs="Arial"/>
          <w:sz w:val="24"/>
          <w:szCs w:val="24"/>
        </w:rPr>
        <w:t>onsu</w:t>
      </w:r>
      <w:r w:rsidR="008C0961">
        <w:rPr>
          <w:rFonts w:ascii="Arial" w:hAnsi="Arial" w:cs="Arial"/>
          <w:sz w:val="24"/>
          <w:szCs w:val="24"/>
        </w:rPr>
        <w:t>mer behaviour</w:t>
      </w:r>
      <w:r w:rsidR="005F2D3F">
        <w:rPr>
          <w:rFonts w:ascii="Arial" w:hAnsi="Arial" w:cs="Arial"/>
          <w:sz w:val="24"/>
          <w:szCs w:val="24"/>
        </w:rPr>
        <w:t xml:space="preserve">, commercial aviation uncertainty, and </w:t>
      </w:r>
      <w:r w:rsidR="004B7135">
        <w:rPr>
          <w:rFonts w:ascii="Arial" w:hAnsi="Arial" w:cs="Arial"/>
          <w:sz w:val="24"/>
          <w:szCs w:val="24"/>
        </w:rPr>
        <w:t xml:space="preserve">new flight regulations for safety standards. </w:t>
      </w:r>
      <w:r w:rsidR="00381210">
        <w:rPr>
          <w:rFonts w:ascii="Arial" w:hAnsi="Arial" w:cs="Arial"/>
          <w:sz w:val="24"/>
          <w:szCs w:val="24"/>
        </w:rPr>
        <w:t xml:space="preserve">This article can be interpreted as </w:t>
      </w:r>
      <w:r w:rsidR="00FA7706">
        <w:rPr>
          <w:rFonts w:ascii="Arial" w:hAnsi="Arial" w:cs="Arial"/>
          <w:sz w:val="24"/>
          <w:szCs w:val="24"/>
        </w:rPr>
        <w:t>the</w:t>
      </w:r>
      <w:r w:rsidR="00381210">
        <w:rPr>
          <w:rFonts w:ascii="Arial" w:hAnsi="Arial" w:cs="Arial"/>
          <w:sz w:val="24"/>
          <w:szCs w:val="24"/>
        </w:rPr>
        <w:t xml:space="preserve"> first perspective of a</w:t>
      </w:r>
      <w:r w:rsidR="00FA7706">
        <w:rPr>
          <w:rFonts w:ascii="Arial" w:hAnsi="Arial" w:cs="Arial"/>
          <w:sz w:val="24"/>
          <w:szCs w:val="24"/>
        </w:rPr>
        <w:t xml:space="preserve">n experienced individual in the field of aviation </w:t>
      </w:r>
      <w:r w:rsidR="00D1740F">
        <w:rPr>
          <w:rFonts w:ascii="Arial" w:hAnsi="Arial" w:cs="Arial"/>
          <w:sz w:val="24"/>
          <w:szCs w:val="24"/>
        </w:rPr>
        <w:t xml:space="preserve">on the opportunities given to private aviation by COVID-19. </w:t>
      </w:r>
      <w:r w:rsidR="005D0912">
        <w:rPr>
          <w:rFonts w:ascii="Arial" w:hAnsi="Arial" w:cs="Arial"/>
          <w:sz w:val="24"/>
          <w:szCs w:val="24"/>
        </w:rPr>
        <w:t xml:space="preserve">The article also provides statistical data to support the growing advantages flying privately has over flying commercially. </w:t>
      </w:r>
      <w:r w:rsidR="00F639E8">
        <w:rPr>
          <w:rFonts w:ascii="Arial" w:hAnsi="Arial" w:cs="Arial"/>
          <w:sz w:val="24"/>
          <w:szCs w:val="24"/>
        </w:rPr>
        <w:t xml:space="preserve">Regarding its significance </w:t>
      </w:r>
      <w:r w:rsidR="00F2645B">
        <w:rPr>
          <w:rFonts w:ascii="Arial" w:hAnsi="Arial" w:cs="Arial"/>
          <w:sz w:val="24"/>
          <w:szCs w:val="24"/>
        </w:rPr>
        <w:t xml:space="preserve">on </w:t>
      </w:r>
      <w:r w:rsidR="00DA127F">
        <w:rPr>
          <w:rFonts w:ascii="Arial" w:hAnsi="Arial" w:cs="Arial"/>
          <w:sz w:val="24"/>
          <w:szCs w:val="24"/>
        </w:rPr>
        <w:t xml:space="preserve">the </w:t>
      </w:r>
      <w:r w:rsidR="00F2645B">
        <w:rPr>
          <w:rFonts w:ascii="Arial" w:hAnsi="Arial" w:cs="Arial"/>
          <w:sz w:val="24"/>
          <w:szCs w:val="24"/>
        </w:rPr>
        <w:t xml:space="preserve">AR, the article provides </w:t>
      </w:r>
      <w:r w:rsidR="00B42941">
        <w:rPr>
          <w:rFonts w:ascii="Arial" w:hAnsi="Arial" w:cs="Arial"/>
          <w:sz w:val="24"/>
          <w:szCs w:val="24"/>
        </w:rPr>
        <w:t xml:space="preserve">a direct comment from </w:t>
      </w:r>
      <w:r w:rsidR="00BF344D">
        <w:rPr>
          <w:rFonts w:ascii="Arial" w:hAnsi="Arial" w:cs="Arial"/>
          <w:sz w:val="24"/>
          <w:szCs w:val="24"/>
        </w:rPr>
        <w:t>an expert in the industry</w:t>
      </w:r>
      <w:r w:rsidR="00F2645B">
        <w:rPr>
          <w:rFonts w:ascii="Arial" w:hAnsi="Arial" w:cs="Arial"/>
          <w:sz w:val="24"/>
          <w:szCs w:val="24"/>
        </w:rPr>
        <w:t xml:space="preserve"> on the current situation of the </w:t>
      </w:r>
      <w:r w:rsidR="000261B8">
        <w:rPr>
          <w:rFonts w:ascii="Arial" w:hAnsi="Arial" w:cs="Arial"/>
          <w:sz w:val="24"/>
          <w:szCs w:val="24"/>
        </w:rPr>
        <w:t>industry</w:t>
      </w:r>
      <w:r w:rsidR="001D4BF3">
        <w:rPr>
          <w:rFonts w:ascii="Arial" w:hAnsi="Arial" w:cs="Arial"/>
          <w:sz w:val="24"/>
          <w:szCs w:val="24"/>
        </w:rPr>
        <w:t xml:space="preserve"> which </w:t>
      </w:r>
      <w:r w:rsidR="006502CD">
        <w:rPr>
          <w:rFonts w:ascii="Arial" w:hAnsi="Arial" w:cs="Arial"/>
          <w:sz w:val="24"/>
          <w:szCs w:val="24"/>
        </w:rPr>
        <w:t xml:space="preserve">can support the </w:t>
      </w:r>
      <w:r w:rsidR="00DA127F">
        <w:rPr>
          <w:rFonts w:ascii="Arial" w:hAnsi="Arial" w:cs="Arial"/>
          <w:sz w:val="24"/>
          <w:szCs w:val="24"/>
        </w:rPr>
        <w:t xml:space="preserve">opportunities </w:t>
      </w:r>
      <w:r w:rsidR="00C41D8B">
        <w:rPr>
          <w:rFonts w:ascii="Arial" w:hAnsi="Arial" w:cs="Arial"/>
          <w:sz w:val="24"/>
          <w:szCs w:val="24"/>
        </w:rPr>
        <w:t>analysed</w:t>
      </w:r>
      <w:r w:rsidR="00DA127F">
        <w:rPr>
          <w:rFonts w:ascii="Arial" w:hAnsi="Arial" w:cs="Arial"/>
          <w:sz w:val="24"/>
          <w:szCs w:val="24"/>
        </w:rPr>
        <w:t xml:space="preserve"> in the </w:t>
      </w:r>
      <w:r w:rsidR="00060FAE">
        <w:rPr>
          <w:rFonts w:ascii="Arial" w:hAnsi="Arial" w:cs="Arial"/>
          <w:sz w:val="24"/>
          <w:szCs w:val="24"/>
        </w:rPr>
        <w:t>AR</w:t>
      </w:r>
      <w:r w:rsidR="00BF344D">
        <w:rPr>
          <w:rFonts w:ascii="Arial" w:hAnsi="Arial" w:cs="Arial"/>
          <w:sz w:val="24"/>
          <w:szCs w:val="24"/>
        </w:rPr>
        <w:t>.</w:t>
      </w:r>
    </w:p>
    <w:p w14:paraId="3687E402" w14:textId="0A527213" w:rsidR="00BF344D" w:rsidRDefault="00B57CB6" w:rsidP="0034564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CB6">
        <w:rPr>
          <w:rFonts w:ascii="Arial" w:hAnsi="Arial" w:cs="Arial"/>
          <w:b/>
          <w:bCs/>
          <w:sz w:val="24"/>
          <w:szCs w:val="24"/>
        </w:rPr>
        <w:t xml:space="preserve">Gollan, D. (2021) ‘Private Aviation Set </w:t>
      </w:r>
      <w:proofErr w:type="gramStart"/>
      <w:r w:rsidRPr="00B57CB6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B57CB6">
        <w:rPr>
          <w:rFonts w:ascii="Arial" w:hAnsi="Arial" w:cs="Arial"/>
          <w:b/>
          <w:bCs/>
          <w:sz w:val="24"/>
          <w:szCs w:val="24"/>
        </w:rPr>
        <w:t xml:space="preserve"> Emerge ‘5-To-10%’ Bigger Post-Covid.’ Forbes [Online]. Available from:</w:t>
      </w:r>
      <w:r w:rsidR="00A834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CB6">
        <w:rPr>
          <w:rFonts w:ascii="Arial" w:hAnsi="Arial" w:cs="Arial"/>
          <w:b/>
          <w:bCs/>
          <w:sz w:val="24"/>
          <w:szCs w:val="24"/>
        </w:rPr>
        <w:t>https://www.forbes.com/sites/douggollan/2021/07/30/private-aviation-set-to-emerge-5-to-10-bigger-post-covid/?sh=5ce34b062eba [Accessed on 25 November 2021].</w:t>
      </w:r>
    </w:p>
    <w:p w14:paraId="63CBF68E" w14:textId="523AE0EC" w:rsidR="00B57CB6" w:rsidRPr="00B57CB6" w:rsidRDefault="0059122D" w:rsidP="0034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7364A">
        <w:rPr>
          <w:rFonts w:ascii="Arial" w:hAnsi="Arial" w:cs="Arial"/>
          <w:sz w:val="24"/>
          <w:szCs w:val="24"/>
        </w:rPr>
        <w:t xml:space="preserve"> article</w:t>
      </w:r>
      <w:r>
        <w:rPr>
          <w:rFonts w:ascii="Arial" w:hAnsi="Arial" w:cs="Arial"/>
          <w:sz w:val="24"/>
          <w:szCs w:val="24"/>
        </w:rPr>
        <w:t xml:space="preserve"> </w:t>
      </w:r>
      <w:r w:rsidR="002C1B4F">
        <w:rPr>
          <w:rFonts w:ascii="Arial" w:hAnsi="Arial" w:cs="Arial"/>
          <w:sz w:val="24"/>
          <w:szCs w:val="24"/>
        </w:rPr>
        <w:t xml:space="preserve">is </w:t>
      </w:r>
      <w:r w:rsidR="00E64141">
        <w:rPr>
          <w:rFonts w:ascii="Arial" w:hAnsi="Arial" w:cs="Arial"/>
          <w:sz w:val="24"/>
          <w:szCs w:val="24"/>
        </w:rPr>
        <w:t xml:space="preserve">written by an expert in the industry who specializes in </w:t>
      </w:r>
      <w:r w:rsidR="00C66AF2">
        <w:rPr>
          <w:rFonts w:ascii="Arial" w:hAnsi="Arial" w:cs="Arial"/>
          <w:sz w:val="24"/>
          <w:szCs w:val="24"/>
        </w:rPr>
        <w:t xml:space="preserve">the jet charter market. </w:t>
      </w:r>
      <w:r w:rsidR="00865555">
        <w:rPr>
          <w:rFonts w:ascii="Arial" w:hAnsi="Arial" w:cs="Arial"/>
          <w:sz w:val="24"/>
          <w:szCs w:val="24"/>
        </w:rPr>
        <w:t>The article discusses the</w:t>
      </w:r>
      <w:r w:rsidR="00587358">
        <w:rPr>
          <w:rFonts w:ascii="Arial" w:hAnsi="Arial" w:cs="Arial"/>
          <w:sz w:val="24"/>
          <w:szCs w:val="24"/>
        </w:rPr>
        <w:t xml:space="preserve"> private aviation industry, particularly jet charter programs,</w:t>
      </w:r>
      <w:r w:rsidR="00865555">
        <w:rPr>
          <w:rFonts w:ascii="Arial" w:hAnsi="Arial" w:cs="Arial"/>
          <w:sz w:val="24"/>
          <w:szCs w:val="24"/>
        </w:rPr>
        <w:t xml:space="preserve"> post-pandemic </w:t>
      </w:r>
      <w:r w:rsidR="00587358">
        <w:rPr>
          <w:rFonts w:ascii="Arial" w:hAnsi="Arial" w:cs="Arial"/>
          <w:sz w:val="24"/>
          <w:szCs w:val="24"/>
        </w:rPr>
        <w:t xml:space="preserve">opportunities </w:t>
      </w:r>
      <w:r w:rsidR="00C148B5">
        <w:rPr>
          <w:rFonts w:ascii="Arial" w:hAnsi="Arial" w:cs="Arial"/>
          <w:sz w:val="24"/>
          <w:szCs w:val="24"/>
        </w:rPr>
        <w:t xml:space="preserve">and potential growth. </w:t>
      </w:r>
      <w:r w:rsidR="00C7364A">
        <w:rPr>
          <w:rFonts w:ascii="Arial" w:hAnsi="Arial" w:cs="Arial"/>
          <w:sz w:val="24"/>
          <w:szCs w:val="24"/>
        </w:rPr>
        <w:t xml:space="preserve">More specifically, the article </w:t>
      </w:r>
      <w:r w:rsidR="00760EF5">
        <w:rPr>
          <w:rFonts w:ascii="Arial" w:hAnsi="Arial" w:cs="Arial"/>
          <w:sz w:val="24"/>
          <w:szCs w:val="24"/>
        </w:rPr>
        <w:t xml:space="preserve">relies on background statistics gathered during the pandemic as well as expert </w:t>
      </w:r>
      <w:r w:rsidR="00C23CA7">
        <w:rPr>
          <w:rFonts w:ascii="Arial" w:hAnsi="Arial" w:cs="Arial"/>
          <w:sz w:val="24"/>
          <w:szCs w:val="24"/>
        </w:rPr>
        <w:t>judgment</w:t>
      </w:r>
      <w:r w:rsidR="004A378A">
        <w:rPr>
          <w:rFonts w:ascii="Arial" w:hAnsi="Arial" w:cs="Arial"/>
          <w:sz w:val="24"/>
          <w:szCs w:val="24"/>
        </w:rPr>
        <w:t>s</w:t>
      </w:r>
      <w:r w:rsidR="00C23CA7">
        <w:rPr>
          <w:rFonts w:ascii="Arial" w:hAnsi="Arial" w:cs="Arial"/>
          <w:sz w:val="24"/>
          <w:szCs w:val="24"/>
        </w:rPr>
        <w:t xml:space="preserve"> to estimate the positive outcome of private aviation. </w:t>
      </w:r>
      <w:r w:rsidR="004A378A">
        <w:rPr>
          <w:rFonts w:ascii="Arial" w:hAnsi="Arial" w:cs="Arial"/>
          <w:sz w:val="24"/>
          <w:szCs w:val="24"/>
        </w:rPr>
        <w:t>It also argues that</w:t>
      </w:r>
      <w:proofErr w:type="gramStart"/>
      <w:r w:rsidR="004A378A">
        <w:rPr>
          <w:rFonts w:ascii="Arial" w:hAnsi="Arial" w:cs="Arial"/>
          <w:sz w:val="24"/>
          <w:szCs w:val="24"/>
        </w:rPr>
        <w:t>, as of the moment, the</w:t>
      </w:r>
      <w:proofErr w:type="gramEnd"/>
      <w:r w:rsidR="004A378A">
        <w:rPr>
          <w:rFonts w:ascii="Arial" w:hAnsi="Arial" w:cs="Arial"/>
          <w:sz w:val="24"/>
          <w:szCs w:val="24"/>
        </w:rPr>
        <w:t xml:space="preserve"> industry is </w:t>
      </w:r>
      <w:r w:rsidR="009B524F">
        <w:rPr>
          <w:rFonts w:ascii="Arial" w:hAnsi="Arial" w:cs="Arial"/>
          <w:sz w:val="24"/>
          <w:szCs w:val="24"/>
        </w:rPr>
        <w:t>past</w:t>
      </w:r>
      <w:r w:rsidR="004A378A">
        <w:rPr>
          <w:rFonts w:ascii="Arial" w:hAnsi="Arial" w:cs="Arial"/>
          <w:sz w:val="24"/>
          <w:szCs w:val="24"/>
        </w:rPr>
        <w:t xml:space="preserve"> recovery mode and </w:t>
      </w:r>
      <w:r w:rsidR="009B524F">
        <w:rPr>
          <w:rFonts w:ascii="Arial" w:hAnsi="Arial" w:cs="Arial"/>
          <w:sz w:val="24"/>
          <w:szCs w:val="24"/>
        </w:rPr>
        <w:t xml:space="preserve">is in its growth period. Overall, this article is considered crucial for the AR </w:t>
      </w:r>
      <w:r w:rsidR="00AA1524">
        <w:rPr>
          <w:rFonts w:ascii="Arial" w:hAnsi="Arial" w:cs="Arial"/>
          <w:sz w:val="24"/>
          <w:szCs w:val="24"/>
        </w:rPr>
        <w:t>because it provides an up-to-date review of the industry progress</w:t>
      </w:r>
      <w:r w:rsidR="00731066">
        <w:rPr>
          <w:rFonts w:ascii="Arial" w:hAnsi="Arial" w:cs="Arial"/>
          <w:sz w:val="24"/>
          <w:szCs w:val="24"/>
        </w:rPr>
        <w:t xml:space="preserve"> made during the pandemic and provides estimation to assert the AR opportunistic view.</w:t>
      </w:r>
    </w:p>
    <w:sectPr w:rsidR="00B57CB6" w:rsidRPr="00B57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0202"/>
    <w:multiLevelType w:val="hybridMultilevel"/>
    <w:tmpl w:val="E61E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379"/>
    <w:multiLevelType w:val="hybridMultilevel"/>
    <w:tmpl w:val="2182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18F4"/>
    <w:multiLevelType w:val="hybridMultilevel"/>
    <w:tmpl w:val="AAE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7"/>
    <w:rsid w:val="00005569"/>
    <w:rsid w:val="000261B8"/>
    <w:rsid w:val="00040F3F"/>
    <w:rsid w:val="00047468"/>
    <w:rsid w:val="00060FAE"/>
    <w:rsid w:val="00080F35"/>
    <w:rsid w:val="000B5088"/>
    <w:rsid w:val="00100F4A"/>
    <w:rsid w:val="00107181"/>
    <w:rsid w:val="0011617F"/>
    <w:rsid w:val="00117D4A"/>
    <w:rsid w:val="00121CF1"/>
    <w:rsid w:val="001248A0"/>
    <w:rsid w:val="00152D5C"/>
    <w:rsid w:val="00156B10"/>
    <w:rsid w:val="00186F0C"/>
    <w:rsid w:val="00195017"/>
    <w:rsid w:val="001A66DB"/>
    <w:rsid w:val="001B0B90"/>
    <w:rsid w:val="001D29D5"/>
    <w:rsid w:val="001D4BF3"/>
    <w:rsid w:val="001D7CB6"/>
    <w:rsid w:val="001E76C8"/>
    <w:rsid w:val="001F497A"/>
    <w:rsid w:val="00221F84"/>
    <w:rsid w:val="00265BD7"/>
    <w:rsid w:val="00285B48"/>
    <w:rsid w:val="002C1B4F"/>
    <w:rsid w:val="002D0AEB"/>
    <w:rsid w:val="002F40CF"/>
    <w:rsid w:val="003005B4"/>
    <w:rsid w:val="00327D24"/>
    <w:rsid w:val="00331953"/>
    <w:rsid w:val="00335689"/>
    <w:rsid w:val="00345641"/>
    <w:rsid w:val="003467F9"/>
    <w:rsid w:val="00347DAD"/>
    <w:rsid w:val="00373E5C"/>
    <w:rsid w:val="00381210"/>
    <w:rsid w:val="003A1EE9"/>
    <w:rsid w:val="003A2BCA"/>
    <w:rsid w:val="003A3705"/>
    <w:rsid w:val="003B7458"/>
    <w:rsid w:val="003C0C7F"/>
    <w:rsid w:val="003C4341"/>
    <w:rsid w:val="004157A9"/>
    <w:rsid w:val="0042099F"/>
    <w:rsid w:val="0043294D"/>
    <w:rsid w:val="00445D8F"/>
    <w:rsid w:val="004A0E1B"/>
    <w:rsid w:val="004A378A"/>
    <w:rsid w:val="004A5606"/>
    <w:rsid w:val="004B3B2C"/>
    <w:rsid w:val="004B7135"/>
    <w:rsid w:val="004E1E97"/>
    <w:rsid w:val="004E2F18"/>
    <w:rsid w:val="00500258"/>
    <w:rsid w:val="00501FB4"/>
    <w:rsid w:val="00516DD5"/>
    <w:rsid w:val="00545A5E"/>
    <w:rsid w:val="00587358"/>
    <w:rsid w:val="0059122D"/>
    <w:rsid w:val="005C2AF1"/>
    <w:rsid w:val="005D0912"/>
    <w:rsid w:val="005F2D3F"/>
    <w:rsid w:val="00632F72"/>
    <w:rsid w:val="006502CD"/>
    <w:rsid w:val="006503D1"/>
    <w:rsid w:val="006610E8"/>
    <w:rsid w:val="0066555D"/>
    <w:rsid w:val="00692FC6"/>
    <w:rsid w:val="006E33B0"/>
    <w:rsid w:val="006F5D3D"/>
    <w:rsid w:val="00705474"/>
    <w:rsid w:val="00731066"/>
    <w:rsid w:val="00760EF5"/>
    <w:rsid w:val="00785FB2"/>
    <w:rsid w:val="00794D54"/>
    <w:rsid w:val="007A72E8"/>
    <w:rsid w:val="007D32F3"/>
    <w:rsid w:val="007E56AF"/>
    <w:rsid w:val="007E7F11"/>
    <w:rsid w:val="007F242D"/>
    <w:rsid w:val="008610CB"/>
    <w:rsid w:val="00865555"/>
    <w:rsid w:val="008C0961"/>
    <w:rsid w:val="008E7481"/>
    <w:rsid w:val="00906D16"/>
    <w:rsid w:val="0096510A"/>
    <w:rsid w:val="009856EB"/>
    <w:rsid w:val="009925E7"/>
    <w:rsid w:val="00993F39"/>
    <w:rsid w:val="009B524F"/>
    <w:rsid w:val="009C65C2"/>
    <w:rsid w:val="009E2F46"/>
    <w:rsid w:val="009F51B7"/>
    <w:rsid w:val="00A179E4"/>
    <w:rsid w:val="00A56C0B"/>
    <w:rsid w:val="00A660FE"/>
    <w:rsid w:val="00A8343B"/>
    <w:rsid w:val="00AA1524"/>
    <w:rsid w:val="00B42941"/>
    <w:rsid w:val="00B4515E"/>
    <w:rsid w:val="00B46398"/>
    <w:rsid w:val="00B54B73"/>
    <w:rsid w:val="00B57CB6"/>
    <w:rsid w:val="00BA6CE0"/>
    <w:rsid w:val="00BF1145"/>
    <w:rsid w:val="00BF344D"/>
    <w:rsid w:val="00C05D6A"/>
    <w:rsid w:val="00C148B5"/>
    <w:rsid w:val="00C23CA7"/>
    <w:rsid w:val="00C41D8B"/>
    <w:rsid w:val="00C60CB6"/>
    <w:rsid w:val="00C64F4D"/>
    <w:rsid w:val="00C66AF2"/>
    <w:rsid w:val="00C677E0"/>
    <w:rsid w:val="00C7364A"/>
    <w:rsid w:val="00C75AF3"/>
    <w:rsid w:val="00C87A2E"/>
    <w:rsid w:val="00C935B2"/>
    <w:rsid w:val="00CD0ABD"/>
    <w:rsid w:val="00D1740F"/>
    <w:rsid w:val="00D425D4"/>
    <w:rsid w:val="00D468F2"/>
    <w:rsid w:val="00D551EF"/>
    <w:rsid w:val="00D6075E"/>
    <w:rsid w:val="00D66BF7"/>
    <w:rsid w:val="00D97020"/>
    <w:rsid w:val="00DA127F"/>
    <w:rsid w:val="00DC6B4D"/>
    <w:rsid w:val="00DF6780"/>
    <w:rsid w:val="00E135D1"/>
    <w:rsid w:val="00E34708"/>
    <w:rsid w:val="00E45583"/>
    <w:rsid w:val="00E54482"/>
    <w:rsid w:val="00E64141"/>
    <w:rsid w:val="00EA0C16"/>
    <w:rsid w:val="00EF48AA"/>
    <w:rsid w:val="00F17508"/>
    <w:rsid w:val="00F2645B"/>
    <w:rsid w:val="00F31EF2"/>
    <w:rsid w:val="00F639E8"/>
    <w:rsid w:val="00FA7706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8EE91"/>
  <w15:chartTrackingRefBased/>
  <w15:docId w15:val="{3F289881-39DD-495D-891A-30B9B9E6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Bao</dc:creator>
  <cp:keywords/>
  <dc:description/>
  <cp:lastModifiedBy>Butt Sophia</cp:lastModifiedBy>
  <cp:revision>2</cp:revision>
  <dcterms:created xsi:type="dcterms:W3CDTF">2021-11-30T11:55:00Z</dcterms:created>
  <dcterms:modified xsi:type="dcterms:W3CDTF">2021-11-30T11:55:00Z</dcterms:modified>
</cp:coreProperties>
</file>