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38F38" w14:textId="6E7B4EA4" w:rsidR="006549AB" w:rsidRPr="002E11B8" w:rsidRDefault="00FA68EF" w:rsidP="002E11B8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549AB">
        <w:rPr>
          <w:rFonts w:ascii="Times New Roman" w:hAnsi="Times New Roman" w:cs="Times New Roman"/>
          <w:b/>
          <w:sz w:val="28"/>
          <w:szCs w:val="28"/>
          <w:lang w:val="en-US"/>
        </w:rPr>
        <w:t>Activating prior knowledge</w:t>
      </w:r>
    </w:p>
    <w:p w14:paraId="3F9AEC7E" w14:textId="40234DD0" w:rsidR="00A00BE1" w:rsidRPr="004828B7" w:rsidRDefault="00BF206D" w:rsidP="007E6F2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28B7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14:paraId="5C4B8BEF" w14:textId="672FB236" w:rsidR="005555B9" w:rsidRPr="004828B7" w:rsidRDefault="00FA68EF" w:rsidP="007E6F2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Activating </w:t>
      </w:r>
      <w:r w:rsidR="00A00BE1" w:rsidRPr="004828B7">
        <w:rPr>
          <w:rFonts w:ascii="Times New Roman" w:hAnsi="Times New Roman" w:cs="Times New Roman"/>
          <w:sz w:val="24"/>
          <w:szCs w:val="24"/>
          <w:lang w:val="en-US"/>
        </w:rPr>
        <w:t>previous</w:t>
      </w:r>
      <w:r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0BE1" w:rsidRPr="004828B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nowledge </w:t>
      </w:r>
      <w:r w:rsidR="00A00BE1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refers to a practice where a teacher </w:t>
      </w:r>
      <w:r w:rsidR="005555B9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brings up topics </w:t>
      </w:r>
      <w:r w:rsidR="00DE6E55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that are already </w:t>
      </w:r>
      <w:r w:rsidR="005555B9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familiar to some degree to the students. </w:t>
      </w:r>
      <w:r w:rsidR="00DE6E55" w:rsidRPr="004828B7">
        <w:rPr>
          <w:rFonts w:ascii="Times New Roman" w:hAnsi="Times New Roman" w:cs="Times New Roman"/>
          <w:sz w:val="24"/>
          <w:szCs w:val="24"/>
          <w:lang w:val="en-US"/>
        </w:rPr>
        <w:t>The purpose</w:t>
      </w:r>
      <w:r w:rsidR="00D76EFF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 of this</w:t>
      </w:r>
      <w:r w:rsidR="00DE6E55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DB1EA0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 to cr</w:t>
      </w:r>
      <w:r w:rsidR="00E75EEA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eate a foundation for learning by giving </w:t>
      </w:r>
      <w:r w:rsidR="00D76EFF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a familiar context for </w:t>
      </w:r>
      <w:r w:rsidR="00DE6E55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the upcoming new information </w:t>
      </w:r>
      <w:r w:rsidR="00D76EFF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so that it becomes more fluently integrated </w:t>
      </w:r>
      <w:r w:rsidR="00DE6E55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D76EFF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what the students already know. Thus, this procedure </w:t>
      </w:r>
      <w:r w:rsidR="00DB1EA0" w:rsidRPr="004828B7">
        <w:rPr>
          <w:rFonts w:ascii="Times New Roman" w:hAnsi="Times New Roman" w:cs="Times New Roman"/>
          <w:sz w:val="24"/>
          <w:szCs w:val="24"/>
          <w:lang w:val="en-US"/>
        </w:rPr>
        <w:t>can help to deepen the understan</w:t>
      </w:r>
      <w:r w:rsidR="001515D6" w:rsidRPr="004828B7">
        <w:rPr>
          <w:rFonts w:ascii="Times New Roman" w:hAnsi="Times New Roman" w:cs="Times New Roman"/>
          <w:sz w:val="24"/>
          <w:szCs w:val="24"/>
          <w:lang w:val="en-US"/>
        </w:rPr>
        <w:t>ding of the forth</w:t>
      </w:r>
      <w:r w:rsidR="00E75EEA" w:rsidRPr="004828B7">
        <w:rPr>
          <w:rFonts w:ascii="Times New Roman" w:hAnsi="Times New Roman" w:cs="Times New Roman"/>
          <w:sz w:val="24"/>
          <w:szCs w:val="24"/>
          <w:lang w:val="en-US"/>
        </w:rPr>
        <w:t>coming information and make the students</w:t>
      </w:r>
      <w:r w:rsidR="001515D6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 mentally engaged in learning</w:t>
      </w:r>
      <w:r w:rsidR="00E75EEA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 it</w:t>
      </w:r>
      <w:r w:rsidR="001515D6" w:rsidRPr="004828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61455B8" w14:textId="2A5EADBA" w:rsidR="000530C3" w:rsidRPr="004828B7" w:rsidRDefault="00DE6E55" w:rsidP="007E6F2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There exist several strategies to activate prior knowledge. </w:t>
      </w:r>
      <w:r w:rsidR="00D119F0" w:rsidRPr="004828B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 teacher may</w:t>
      </w:r>
      <w:r w:rsidR="00867F1E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 simply</w:t>
      </w:r>
      <w:r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 ask </w:t>
      </w:r>
      <w:r w:rsidR="000530C3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the students </w:t>
      </w:r>
      <w:r w:rsidRPr="004828B7">
        <w:rPr>
          <w:rFonts w:ascii="Times New Roman" w:hAnsi="Times New Roman" w:cs="Times New Roman"/>
          <w:sz w:val="24"/>
          <w:szCs w:val="24"/>
          <w:lang w:val="en-US"/>
        </w:rPr>
        <w:t>specific or general questions re</w:t>
      </w:r>
      <w:r w:rsidR="00D119F0" w:rsidRPr="004828B7">
        <w:rPr>
          <w:rFonts w:ascii="Times New Roman" w:hAnsi="Times New Roman" w:cs="Times New Roman"/>
          <w:sz w:val="24"/>
          <w:szCs w:val="24"/>
          <w:lang w:val="en-US"/>
        </w:rPr>
        <w:t>lated to the topic</w:t>
      </w:r>
      <w:r w:rsidR="000530C3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, inciting them </w:t>
      </w:r>
      <w:r w:rsidR="00D119F0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to recall their </w:t>
      </w:r>
      <w:r w:rsidR="000530C3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available </w:t>
      </w:r>
      <w:r w:rsidR="00D119F0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knowledge on the topic. To invoke even deeper processing of </w:t>
      </w:r>
      <w:r w:rsidR="000530C3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prior </w:t>
      </w:r>
      <w:r w:rsidR="00D119F0" w:rsidRPr="004828B7">
        <w:rPr>
          <w:rFonts w:ascii="Times New Roman" w:hAnsi="Times New Roman" w:cs="Times New Roman"/>
          <w:sz w:val="24"/>
          <w:szCs w:val="24"/>
          <w:lang w:val="en-US"/>
        </w:rPr>
        <w:t>knowledge, the teacher can post a problem or a scenario for students to solve</w:t>
      </w:r>
      <w:r w:rsidR="000530C3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. Solving such scenario should require the retrieval </w:t>
      </w:r>
      <w:r w:rsidR="009F7CE2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of relevant prior knowledge on the topic. </w:t>
      </w:r>
      <w:r w:rsidR="000D36A9">
        <w:rPr>
          <w:rFonts w:ascii="Times New Roman" w:hAnsi="Times New Roman" w:cs="Times New Roman"/>
          <w:sz w:val="24"/>
          <w:szCs w:val="24"/>
          <w:lang w:val="en-US"/>
        </w:rPr>
        <w:t xml:space="preserve">The teacher can also have the students to activate </w:t>
      </w:r>
      <w:r w:rsidR="007B066A">
        <w:rPr>
          <w:rFonts w:ascii="Times New Roman" w:hAnsi="Times New Roman" w:cs="Times New Roman"/>
          <w:sz w:val="24"/>
          <w:szCs w:val="24"/>
          <w:lang w:val="en-US"/>
        </w:rPr>
        <w:t>each other’s</w:t>
      </w:r>
      <w:r w:rsidR="000D36A9">
        <w:rPr>
          <w:rFonts w:ascii="Times New Roman" w:hAnsi="Times New Roman" w:cs="Times New Roman"/>
          <w:sz w:val="24"/>
          <w:szCs w:val="24"/>
          <w:lang w:val="en-US"/>
        </w:rPr>
        <w:t>’ prior knowledge by discussing the topic</w:t>
      </w:r>
      <w:r w:rsidR="007B066A">
        <w:rPr>
          <w:rFonts w:ascii="Times New Roman" w:hAnsi="Times New Roman" w:cs="Times New Roman"/>
          <w:sz w:val="24"/>
          <w:szCs w:val="24"/>
          <w:lang w:val="en-US"/>
        </w:rPr>
        <w:t xml:space="preserve"> together</w:t>
      </w:r>
      <w:r w:rsidR="000D36A9">
        <w:rPr>
          <w:rFonts w:ascii="Times New Roman" w:hAnsi="Times New Roman" w:cs="Times New Roman"/>
          <w:sz w:val="24"/>
          <w:szCs w:val="24"/>
          <w:lang w:val="en-US"/>
        </w:rPr>
        <w:t xml:space="preserve">. One </w:t>
      </w:r>
      <w:r w:rsidR="009F7CE2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commonly used </w:t>
      </w:r>
      <w:r w:rsidR="000D36A9"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D95673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36A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9F7CE2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5673" w:rsidRPr="004828B7">
        <w:rPr>
          <w:rFonts w:ascii="Times New Roman" w:hAnsi="Times New Roman" w:cs="Times New Roman"/>
          <w:sz w:val="24"/>
          <w:szCs w:val="24"/>
          <w:lang w:val="en-US"/>
        </w:rPr>
        <w:t>“turn and talk”</w:t>
      </w:r>
      <w:r w:rsidR="009F7CE2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 where students are asked to turn toward a </w:t>
      </w:r>
      <w:r w:rsidR="00D95673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fellow </w:t>
      </w:r>
      <w:r w:rsidR="009F7CE2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classmate and </w:t>
      </w:r>
      <w:r w:rsidR="00D95673" w:rsidRPr="004828B7">
        <w:rPr>
          <w:rFonts w:ascii="Times New Roman" w:hAnsi="Times New Roman" w:cs="Times New Roman"/>
          <w:sz w:val="24"/>
          <w:szCs w:val="24"/>
          <w:lang w:val="en-US"/>
        </w:rPr>
        <w:t>discuss</w:t>
      </w:r>
      <w:r w:rsidR="009F7CE2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 what they know about the given topic. Such </w:t>
      </w:r>
      <w:r w:rsidR="00D95673" w:rsidRPr="004828B7">
        <w:rPr>
          <w:rFonts w:ascii="Times New Roman" w:hAnsi="Times New Roman" w:cs="Times New Roman"/>
          <w:sz w:val="24"/>
          <w:szCs w:val="24"/>
          <w:lang w:val="en-US"/>
        </w:rPr>
        <w:t>discussion</w:t>
      </w:r>
      <w:r w:rsidR="009F7CE2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 can also be done </w:t>
      </w:r>
      <w:r w:rsidR="007B066A">
        <w:rPr>
          <w:rFonts w:ascii="Times New Roman" w:hAnsi="Times New Roman" w:cs="Times New Roman"/>
          <w:sz w:val="24"/>
          <w:szCs w:val="24"/>
          <w:lang w:val="en-US"/>
        </w:rPr>
        <w:t>by brainstorming in</w:t>
      </w:r>
      <w:r w:rsidR="009F7CE2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5673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larger </w:t>
      </w:r>
      <w:r w:rsidR="001515D6" w:rsidRPr="004828B7">
        <w:rPr>
          <w:rFonts w:ascii="Times New Roman" w:hAnsi="Times New Roman" w:cs="Times New Roman"/>
          <w:sz w:val="24"/>
          <w:szCs w:val="24"/>
          <w:lang w:val="en-US"/>
        </w:rPr>
        <w:t>groups</w:t>
      </w:r>
      <w:r w:rsidR="007B06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8B2C1D" w14:textId="74639F93" w:rsidR="001515D6" w:rsidRPr="004828B7" w:rsidRDefault="00E75EEA" w:rsidP="007E6F2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28B7">
        <w:rPr>
          <w:rFonts w:ascii="Times New Roman" w:hAnsi="Times New Roman" w:cs="Times New Roman"/>
          <w:sz w:val="24"/>
          <w:szCs w:val="24"/>
          <w:lang w:val="en-US"/>
        </w:rPr>
        <w:t>Certain</w:t>
      </w:r>
      <w:r w:rsidR="00DB1EA0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 methods leverage graphic organizers: for instance,</w:t>
      </w:r>
      <w:r w:rsidR="000530C3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 the teacher can</w:t>
      </w:r>
      <w:r w:rsidR="009F7CE2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 ask the students </w:t>
      </w:r>
      <w:r w:rsidR="005D49A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draw a mind map or </w:t>
      </w:r>
      <w:r w:rsidR="009F7CE2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to fill a learning goals chart, either individually or in groups. </w:t>
      </w:r>
      <w:r w:rsidR="000530C3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 w:rsidR="00D905A4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commonly used </w:t>
      </w:r>
      <w:r w:rsidR="00DB1EA0" w:rsidRPr="004828B7">
        <w:rPr>
          <w:rFonts w:ascii="Times New Roman" w:hAnsi="Times New Roman" w:cs="Times New Roman"/>
          <w:sz w:val="24"/>
          <w:szCs w:val="24"/>
          <w:lang w:val="en-US"/>
        </w:rPr>
        <w:t>application of</w:t>
      </w:r>
      <w:r w:rsidR="000530C3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 this is </w:t>
      </w:r>
      <w:r w:rsidR="00C9748F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the KWL chart, which consists of three parts:  what do we </w:t>
      </w:r>
      <w:r w:rsidR="00C9748F" w:rsidRPr="004828B7">
        <w:rPr>
          <w:rFonts w:ascii="Times New Roman" w:hAnsi="Times New Roman" w:cs="Times New Roman"/>
          <w:sz w:val="24"/>
          <w:szCs w:val="24"/>
          <w:u w:val="single"/>
          <w:lang w:val="en-US"/>
        </w:rPr>
        <w:t>K</w:t>
      </w:r>
      <w:r w:rsidR="00C9748F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now; what do we </w:t>
      </w:r>
      <w:r w:rsidR="00C9748F" w:rsidRPr="004828B7">
        <w:rPr>
          <w:rFonts w:ascii="Times New Roman" w:hAnsi="Times New Roman" w:cs="Times New Roman"/>
          <w:sz w:val="24"/>
          <w:szCs w:val="24"/>
          <w:u w:val="single"/>
          <w:lang w:val="en-US"/>
        </w:rPr>
        <w:t>W</w:t>
      </w:r>
      <w:r w:rsidR="00C9748F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ant to know; and what have we </w:t>
      </w:r>
      <w:r w:rsidR="00C9748F" w:rsidRPr="004828B7">
        <w:rPr>
          <w:rFonts w:ascii="Times New Roman" w:hAnsi="Times New Roman" w:cs="Times New Roman"/>
          <w:sz w:val="24"/>
          <w:szCs w:val="24"/>
          <w:u w:val="single"/>
          <w:lang w:val="en-US"/>
        </w:rPr>
        <w:t>L</w:t>
      </w:r>
      <w:r w:rsidR="000530C3" w:rsidRPr="004828B7">
        <w:rPr>
          <w:rFonts w:ascii="Times New Roman" w:hAnsi="Times New Roman" w:cs="Times New Roman"/>
          <w:sz w:val="24"/>
          <w:szCs w:val="24"/>
          <w:lang w:val="en-US"/>
        </w:rPr>
        <w:t>earned.</w:t>
      </w:r>
      <w:r w:rsidR="00C9748F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 The students are required to </w:t>
      </w:r>
      <w:r w:rsidR="000530C3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reflect and </w:t>
      </w:r>
      <w:r w:rsidR="00C9748F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write answers to the first two questions before the class, and </w:t>
      </w:r>
      <w:r w:rsidR="000530C3" w:rsidRPr="004828B7">
        <w:rPr>
          <w:rFonts w:ascii="Times New Roman" w:hAnsi="Times New Roman" w:cs="Times New Roman"/>
          <w:sz w:val="24"/>
          <w:szCs w:val="24"/>
          <w:lang w:val="en-US"/>
        </w:rPr>
        <w:t>answer</w:t>
      </w:r>
      <w:r w:rsidR="00C9748F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 the final question after the class. </w:t>
      </w:r>
      <w:r w:rsidR="00DB1EA0" w:rsidRPr="004828B7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9748F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 extension of this is the KWHL chart, which adds a procedural element into the mix by making the student </w:t>
      </w:r>
      <w:r w:rsidR="00D95673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5D49AA">
        <w:rPr>
          <w:rFonts w:ascii="Times New Roman" w:hAnsi="Times New Roman" w:cs="Times New Roman"/>
          <w:sz w:val="24"/>
          <w:szCs w:val="24"/>
          <w:lang w:val="en-US"/>
        </w:rPr>
        <w:t>reflect on the question “</w:t>
      </w:r>
      <w:r w:rsidR="005D49AA" w:rsidRPr="005D49AA">
        <w:rPr>
          <w:rFonts w:ascii="Times New Roman" w:hAnsi="Times New Roman" w:cs="Times New Roman"/>
          <w:sz w:val="24"/>
          <w:szCs w:val="24"/>
          <w:u w:val="single"/>
          <w:lang w:val="en-US"/>
        </w:rPr>
        <w:t>H</w:t>
      </w:r>
      <w:r w:rsidR="00C9748F" w:rsidRPr="004828B7">
        <w:rPr>
          <w:rFonts w:ascii="Times New Roman" w:hAnsi="Times New Roman" w:cs="Times New Roman"/>
          <w:sz w:val="24"/>
          <w:szCs w:val="24"/>
          <w:lang w:val="en-US"/>
        </w:rPr>
        <w:t>ow will I find information” before the class.</w:t>
      </w:r>
      <w:r w:rsidR="00D95673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 Another </w:t>
      </w:r>
      <w:r w:rsidRPr="004828B7">
        <w:rPr>
          <w:rFonts w:ascii="Times New Roman" w:hAnsi="Times New Roman" w:cs="Times New Roman"/>
          <w:sz w:val="24"/>
          <w:szCs w:val="24"/>
          <w:lang w:val="en-US"/>
        </w:rPr>
        <w:t>effective</w:t>
      </w:r>
      <w:r w:rsidR="00D95673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 method is </w:t>
      </w:r>
      <w:r w:rsidR="00D905A4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95673" w:rsidRPr="004828B7">
        <w:rPr>
          <w:rFonts w:ascii="Times New Roman" w:hAnsi="Times New Roman" w:cs="Times New Roman"/>
          <w:sz w:val="24"/>
          <w:szCs w:val="24"/>
          <w:lang w:val="en-US"/>
        </w:rPr>
        <w:t>3-2-1</w:t>
      </w:r>
      <w:r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 list</w:t>
      </w:r>
      <w:r w:rsidR="00D95673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: there the students are asked to list three things they already know about the topic, two things they would like to know or learn more about the topic, and one </w:t>
      </w:r>
      <w:r w:rsidR="005D49AA">
        <w:rPr>
          <w:rFonts w:ascii="Times New Roman" w:hAnsi="Times New Roman" w:cs="Times New Roman"/>
          <w:sz w:val="24"/>
          <w:szCs w:val="24"/>
          <w:lang w:val="en-US"/>
        </w:rPr>
        <w:t xml:space="preserve">specific </w:t>
      </w:r>
      <w:r w:rsidR="00D95673" w:rsidRPr="004828B7">
        <w:rPr>
          <w:rFonts w:ascii="Times New Roman" w:hAnsi="Times New Roman" w:cs="Times New Roman"/>
          <w:sz w:val="24"/>
          <w:szCs w:val="24"/>
          <w:lang w:val="en-US"/>
        </w:rPr>
        <w:t>question re</w:t>
      </w:r>
      <w:r w:rsidR="00C362A5" w:rsidRPr="004828B7">
        <w:rPr>
          <w:rFonts w:ascii="Times New Roman" w:hAnsi="Times New Roman" w:cs="Times New Roman"/>
          <w:sz w:val="24"/>
          <w:szCs w:val="24"/>
          <w:lang w:val="en-US"/>
        </w:rPr>
        <w:t>lated to the topic</w:t>
      </w:r>
      <w:r w:rsidR="00BF206D" w:rsidRPr="004828B7">
        <w:rPr>
          <w:rFonts w:ascii="Times New Roman" w:hAnsi="Times New Roman" w:cs="Times New Roman"/>
          <w:sz w:val="24"/>
          <w:szCs w:val="24"/>
          <w:lang w:val="en-US"/>
        </w:rPr>
        <w:t>. Such assignment can be given to students</w:t>
      </w:r>
      <w:r w:rsidR="00D95673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206D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beforehand, but alternatively it can also </w:t>
      </w:r>
      <w:r w:rsidR="00796A72" w:rsidRPr="004828B7">
        <w:rPr>
          <w:rFonts w:ascii="Times New Roman" w:hAnsi="Times New Roman" w:cs="Times New Roman"/>
          <w:sz w:val="24"/>
          <w:szCs w:val="24"/>
          <w:lang w:val="en-US"/>
        </w:rPr>
        <w:t>be executed</w:t>
      </w:r>
      <w:r w:rsidR="00BF206D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5673" w:rsidRPr="004828B7">
        <w:rPr>
          <w:rFonts w:ascii="Times New Roman" w:hAnsi="Times New Roman" w:cs="Times New Roman"/>
          <w:sz w:val="24"/>
          <w:szCs w:val="24"/>
          <w:lang w:val="en-US"/>
        </w:rPr>
        <w:t>in the beginning of the class so tha</w:t>
      </w:r>
      <w:r w:rsidR="00BF206D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t the teacher gives the students a moment to activate their knowledge </w:t>
      </w:r>
      <w:r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by writing the list </w:t>
      </w:r>
      <w:r w:rsidR="00BF206D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and then </w:t>
      </w:r>
      <w:r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goes </w:t>
      </w:r>
      <w:r w:rsidRPr="004828B7">
        <w:rPr>
          <w:rFonts w:ascii="Times New Roman" w:hAnsi="Times New Roman" w:cs="Times New Roman"/>
          <w:sz w:val="24"/>
          <w:szCs w:val="24"/>
          <w:lang w:val="en-US"/>
        </w:rPr>
        <w:t>through the answers together</w:t>
      </w:r>
      <w:r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BF206D" w:rsidRPr="004828B7">
        <w:rPr>
          <w:rFonts w:ascii="Times New Roman" w:hAnsi="Times New Roman" w:cs="Times New Roman"/>
          <w:sz w:val="24"/>
          <w:szCs w:val="24"/>
          <w:lang w:val="en-US"/>
        </w:rPr>
        <w:t>the class.</w:t>
      </w:r>
      <w:r w:rsidR="005D49AA">
        <w:rPr>
          <w:rFonts w:ascii="Times New Roman" w:hAnsi="Times New Roman" w:cs="Times New Roman"/>
          <w:sz w:val="24"/>
          <w:szCs w:val="24"/>
          <w:lang w:val="en-US"/>
        </w:rPr>
        <w:t xml:space="preserve"> This way the teacher gets an understanding about the students’ current knowledge, what interests them in the topic, and what is still unclear.</w:t>
      </w:r>
    </w:p>
    <w:p w14:paraId="79C29966" w14:textId="372C80BD" w:rsidR="00246B67" w:rsidRPr="004828B7" w:rsidRDefault="00237C62" w:rsidP="002E11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28B7">
        <w:rPr>
          <w:rFonts w:ascii="Times New Roman" w:hAnsi="Times New Roman" w:cs="Times New Roman"/>
          <w:sz w:val="24"/>
          <w:szCs w:val="24"/>
          <w:lang w:val="en-US"/>
        </w:rPr>
        <w:t>When activating students’ prior knowledge, the teacher should consider the extent of their prior knowledge. The students’ knowledge typically divides into three distinct levels of knowledge, depending on the individual: much knowledge (superordinate concepts; definitions; analogies; linking), some knowledge (examples; attributes; defi</w:t>
      </w:r>
      <w:bookmarkStart w:id="0" w:name="_GoBack"/>
      <w:bookmarkEnd w:id="0"/>
      <w:r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ning characteristics), and little knowledge (associations; morphemes; sound </w:t>
      </w:r>
      <w:proofErr w:type="spellStart"/>
      <w:r w:rsidRPr="004828B7">
        <w:rPr>
          <w:rFonts w:ascii="Times New Roman" w:hAnsi="Times New Roman" w:cs="Times New Roman"/>
          <w:sz w:val="24"/>
          <w:szCs w:val="24"/>
          <w:lang w:val="en-US"/>
        </w:rPr>
        <w:t>alikes</w:t>
      </w:r>
      <w:proofErr w:type="spellEnd"/>
      <w:r w:rsidRPr="004828B7">
        <w:rPr>
          <w:rFonts w:ascii="Times New Roman" w:hAnsi="Times New Roman" w:cs="Times New Roman"/>
          <w:sz w:val="24"/>
          <w:szCs w:val="24"/>
          <w:lang w:val="en-US"/>
        </w:rPr>
        <w:t>; firsthand experiences).</w:t>
      </w:r>
      <w:r w:rsidR="001515D6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 Thus, a</w:t>
      </w:r>
      <w:r w:rsidR="00246B67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ctivating prior knowledge </w:t>
      </w:r>
      <w:r w:rsidR="001515D6" w:rsidRPr="004828B7">
        <w:rPr>
          <w:rFonts w:ascii="Times New Roman" w:hAnsi="Times New Roman" w:cs="Times New Roman"/>
          <w:sz w:val="24"/>
          <w:szCs w:val="24"/>
          <w:lang w:val="en-US"/>
        </w:rPr>
        <w:t>can be seen as</w:t>
      </w:r>
      <w:r w:rsidR="00246B67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 self-assessment by the students, </w:t>
      </w:r>
      <w:r w:rsidR="001515D6" w:rsidRPr="004828B7">
        <w:rPr>
          <w:rFonts w:ascii="Times New Roman" w:hAnsi="Times New Roman" w:cs="Times New Roman"/>
          <w:sz w:val="24"/>
          <w:szCs w:val="24"/>
          <w:lang w:val="en-US"/>
        </w:rPr>
        <w:t>as they</w:t>
      </w:r>
      <w:r w:rsidR="00246B67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 are encouraged to consider and reflect on the le</w:t>
      </w:r>
      <w:r w:rsidR="001515D6" w:rsidRPr="004828B7">
        <w:rPr>
          <w:rFonts w:ascii="Times New Roman" w:hAnsi="Times New Roman" w:cs="Times New Roman"/>
          <w:sz w:val="24"/>
          <w:szCs w:val="24"/>
          <w:lang w:val="en-US"/>
        </w:rPr>
        <w:t>vel of knowledge they have on a concept</w:t>
      </w:r>
      <w:r w:rsidR="00246B67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515D6" w:rsidRPr="004828B7">
        <w:rPr>
          <w:rFonts w:ascii="Times New Roman" w:hAnsi="Times New Roman" w:cs="Times New Roman"/>
          <w:sz w:val="24"/>
          <w:szCs w:val="24"/>
          <w:lang w:val="en-US"/>
        </w:rPr>
        <w:t>This can be done</w:t>
      </w:r>
      <w:r w:rsidR="004828B7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1515D6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28B7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r w:rsidR="00964175">
        <w:rPr>
          <w:rFonts w:ascii="Times New Roman" w:hAnsi="Times New Roman" w:cs="Times New Roman"/>
          <w:sz w:val="24"/>
          <w:szCs w:val="24"/>
          <w:lang w:val="en-US"/>
        </w:rPr>
        <w:t xml:space="preserve">an assessment chart that contains </w:t>
      </w:r>
      <w:r w:rsidR="004828B7" w:rsidRPr="004828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46B67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pecific questions </w:t>
      </w:r>
      <w:r w:rsidR="006151C1">
        <w:rPr>
          <w:rFonts w:ascii="Times New Roman" w:hAnsi="Times New Roman" w:cs="Times New Roman"/>
          <w:sz w:val="24"/>
          <w:szCs w:val="24"/>
          <w:lang w:val="en-US"/>
        </w:rPr>
        <w:t>about how familiar they are with the topic. This</w:t>
      </w:r>
      <w:r w:rsidR="00246B67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 help</w:t>
      </w:r>
      <w:r w:rsidR="006151C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46B67" w:rsidRPr="004828B7">
        <w:rPr>
          <w:rFonts w:ascii="Times New Roman" w:hAnsi="Times New Roman" w:cs="Times New Roman"/>
          <w:sz w:val="24"/>
          <w:szCs w:val="24"/>
          <w:lang w:val="en-US"/>
        </w:rPr>
        <w:t xml:space="preserve"> the students </w:t>
      </w:r>
      <w:r w:rsidR="006151C1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246B67" w:rsidRPr="004828B7">
        <w:rPr>
          <w:rFonts w:ascii="Times New Roman" w:hAnsi="Times New Roman" w:cs="Times New Roman"/>
          <w:sz w:val="24"/>
          <w:szCs w:val="24"/>
          <w:lang w:val="en-US"/>
        </w:rPr>
        <w:t>assess their personal level</w:t>
      </w:r>
      <w:r w:rsidR="006151C1">
        <w:rPr>
          <w:rFonts w:ascii="Times New Roman" w:hAnsi="Times New Roman" w:cs="Times New Roman"/>
          <w:sz w:val="24"/>
          <w:szCs w:val="24"/>
          <w:lang w:val="en-US"/>
        </w:rPr>
        <w:t xml:space="preserve"> of knowledge. </w:t>
      </w:r>
    </w:p>
    <w:sectPr w:rsidR="00246B67" w:rsidRPr="004828B7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901F6" w14:textId="77777777" w:rsidR="00066052" w:rsidRDefault="00066052" w:rsidP="004C49E4">
      <w:pPr>
        <w:spacing w:after="0" w:line="240" w:lineRule="auto"/>
      </w:pPr>
      <w:r>
        <w:separator/>
      </w:r>
    </w:p>
  </w:endnote>
  <w:endnote w:type="continuationSeparator" w:id="0">
    <w:p w14:paraId="7C1A8253" w14:textId="77777777" w:rsidR="00066052" w:rsidRDefault="00066052" w:rsidP="004C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A9A1A" w14:textId="77777777" w:rsidR="00066052" w:rsidRDefault="00066052" w:rsidP="004C49E4">
      <w:pPr>
        <w:spacing w:after="0" w:line="240" w:lineRule="auto"/>
      </w:pPr>
      <w:r>
        <w:separator/>
      </w:r>
    </w:p>
  </w:footnote>
  <w:footnote w:type="continuationSeparator" w:id="0">
    <w:p w14:paraId="7E1BA7B0" w14:textId="77777777" w:rsidR="00066052" w:rsidRDefault="00066052" w:rsidP="004C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4FCCC" w14:textId="78963005" w:rsidR="005D49AA" w:rsidRPr="005D49AA" w:rsidRDefault="005D49AA">
    <w:pPr>
      <w:pStyle w:val="Header"/>
      <w:rPr>
        <w:rFonts w:ascii="Times New Roman" w:hAnsi="Times New Roman" w:cs="Times New Roman"/>
        <w:sz w:val="20"/>
        <w:szCs w:val="20"/>
        <w:lang w:val="en-US"/>
      </w:rPr>
    </w:pPr>
    <w:proofErr w:type="spellStart"/>
    <w:r w:rsidRPr="005D49AA">
      <w:rPr>
        <w:rFonts w:ascii="Times New Roman" w:hAnsi="Times New Roman" w:cs="Times New Roman"/>
        <w:sz w:val="20"/>
        <w:szCs w:val="20"/>
        <w:lang w:val="en-US"/>
      </w:rPr>
      <w:t>Henrika</w:t>
    </w:r>
    <w:proofErr w:type="spellEnd"/>
    <w:r w:rsidRPr="005D49AA">
      <w:rPr>
        <w:rFonts w:ascii="Times New Roman" w:hAnsi="Times New Roman" w:cs="Times New Roman"/>
        <w:sz w:val="20"/>
        <w:szCs w:val="20"/>
        <w:lang w:val="en-US"/>
      </w:rPr>
      <w:t xml:space="preserve"> Franck </w:t>
    </w:r>
    <w:r>
      <w:rPr>
        <w:rFonts w:ascii="Times New Roman" w:hAnsi="Times New Roman" w:cs="Times New Roman"/>
        <w:sz w:val="20"/>
        <w:szCs w:val="20"/>
        <w:lang w:val="en-US"/>
      </w:rPr>
      <w:tab/>
    </w:r>
    <w:r w:rsidRPr="005D49AA">
      <w:rPr>
        <w:rFonts w:ascii="Times New Roman" w:hAnsi="Times New Roman" w:cs="Times New Roman"/>
        <w:sz w:val="20"/>
        <w:szCs w:val="20"/>
        <w:lang w:val="en-US"/>
      </w:rPr>
      <w:t>Group Assignment</w:t>
    </w:r>
    <w:r>
      <w:rPr>
        <w:rFonts w:ascii="Times New Roman" w:hAnsi="Times New Roman" w:cs="Times New Roman"/>
        <w:sz w:val="20"/>
        <w:szCs w:val="20"/>
        <w:lang w:val="en-US"/>
      </w:rPr>
      <w:tab/>
    </w:r>
    <w:r w:rsidRPr="005D49AA">
      <w:rPr>
        <w:rFonts w:ascii="Times New Roman" w:hAnsi="Times New Roman" w:cs="Times New Roman"/>
        <w:sz w:val="20"/>
        <w:szCs w:val="20"/>
        <w:lang w:val="en-US"/>
      </w:rPr>
      <w:t>Pedagogical Training</w:t>
    </w:r>
  </w:p>
  <w:p w14:paraId="43298561" w14:textId="78E5628A" w:rsidR="005D49AA" w:rsidRPr="005D49AA" w:rsidRDefault="005D49AA">
    <w:pPr>
      <w:pStyle w:val="Header"/>
      <w:rPr>
        <w:rFonts w:ascii="Times New Roman" w:hAnsi="Times New Roman" w:cs="Times New Roman"/>
        <w:sz w:val="20"/>
        <w:szCs w:val="20"/>
        <w:lang w:val="en-US"/>
      </w:rPr>
    </w:pPr>
    <w:r w:rsidRPr="005D49AA">
      <w:rPr>
        <w:rFonts w:ascii="Times New Roman" w:hAnsi="Times New Roman" w:cs="Times New Roman"/>
        <w:sz w:val="20"/>
        <w:szCs w:val="20"/>
        <w:lang w:val="en-US"/>
      </w:rPr>
      <w:t>Tapani Rinta-Kahila</w:t>
    </w:r>
    <w:r w:rsidRPr="005D49AA">
      <w:rPr>
        <w:rFonts w:ascii="Times New Roman" w:hAnsi="Times New Roman" w:cs="Times New Roman"/>
        <w:sz w:val="20"/>
        <w:szCs w:val="20"/>
        <w:lang w:val="en-US"/>
      </w:rPr>
      <w:tab/>
    </w:r>
    <w:r w:rsidR="00E30122">
      <w:rPr>
        <w:rFonts w:ascii="Times New Roman" w:hAnsi="Times New Roman" w:cs="Times New Roman"/>
        <w:sz w:val="20"/>
        <w:szCs w:val="20"/>
        <w:lang w:val="en-US"/>
      </w:rPr>
      <w:t>24</w:t>
    </w:r>
    <w:r w:rsidRPr="005D49AA">
      <w:rPr>
        <w:rFonts w:ascii="Times New Roman" w:hAnsi="Times New Roman" w:cs="Times New Roman"/>
        <w:sz w:val="20"/>
        <w:szCs w:val="20"/>
        <w:lang w:val="en-US"/>
      </w:rPr>
      <w:t>.3.2017</w:t>
    </w:r>
  </w:p>
  <w:p w14:paraId="204BCE4A" w14:textId="73E421EE" w:rsidR="005D49AA" w:rsidRPr="005D49AA" w:rsidRDefault="005D49AA">
    <w:pPr>
      <w:pStyle w:val="Header"/>
      <w:rPr>
        <w:rFonts w:ascii="Times New Roman" w:hAnsi="Times New Roman" w:cs="Times New Roman"/>
        <w:sz w:val="20"/>
        <w:szCs w:val="20"/>
        <w:lang w:val="en-US"/>
      </w:rPr>
    </w:pPr>
    <w:proofErr w:type="spellStart"/>
    <w:r w:rsidRPr="005D49AA">
      <w:rPr>
        <w:rFonts w:ascii="Times New Roman" w:hAnsi="Times New Roman" w:cs="Times New Roman"/>
        <w:sz w:val="20"/>
        <w:szCs w:val="20"/>
        <w:lang w:val="en-US"/>
      </w:rPr>
      <w:t>Virpi</w:t>
    </w:r>
    <w:proofErr w:type="spellEnd"/>
    <w:r w:rsidRPr="005D49AA">
      <w:rPr>
        <w:rFonts w:ascii="Times New Roman" w:hAnsi="Times New Roman" w:cs="Times New Roman"/>
        <w:sz w:val="20"/>
        <w:szCs w:val="20"/>
        <w:lang w:val="en-US"/>
      </w:rPr>
      <w:t xml:space="preserve"> </w:t>
    </w:r>
    <w:proofErr w:type="spellStart"/>
    <w:r w:rsidRPr="005D49AA">
      <w:rPr>
        <w:rFonts w:ascii="Times New Roman" w:hAnsi="Times New Roman" w:cs="Times New Roman"/>
        <w:sz w:val="20"/>
        <w:szCs w:val="20"/>
        <w:lang w:val="en-US"/>
      </w:rPr>
      <w:t>Outila</w:t>
    </w:r>
    <w:proofErr w:type="spellEnd"/>
  </w:p>
  <w:p w14:paraId="071E74D4" w14:textId="77777777" w:rsidR="005D49AA" w:rsidRDefault="005D49AA">
    <w:pPr>
      <w:pStyle w:val="Header"/>
      <w:rPr>
        <w:rFonts w:ascii="Times New Roman" w:hAnsi="Times New Roman" w:cs="Times New Roman"/>
        <w:sz w:val="20"/>
        <w:szCs w:val="20"/>
        <w:lang w:val="en-US"/>
      </w:rPr>
    </w:pPr>
  </w:p>
  <w:p w14:paraId="06E86F5A" w14:textId="77777777" w:rsidR="002E11B8" w:rsidRPr="005D49AA" w:rsidRDefault="002E11B8">
    <w:pPr>
      <w:pStyle w:val="Header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74387"/>
    <w:multiLevelType w:val="hybridMultilevel"/>
    <w:tmpl w:val="C49C0E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713AB"/>
    <w:multiLevelType w:val="multilevel"/>
    <w:tmpl w:val="6A38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C3ECD"/>
    <w:multiLevelType w:val="multilevel"/>
    <w:tmpl w:val="110E9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B12B0B"/>
    <w:multiLevelType w:val="multilevel"/>
    <w:tmpl w:val="FDAC5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2628DE"/>
    <w:multiLevelType w:val="hybridMultilevel"/>
    <w:tmpl w:val="EFF66F0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9A3E1E"/>
    <w:multiLevelType w:val="multilevel"/>
    <w:tmpl w:val="77EE6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3106A8"/>
    <w:multiLevelType w:val="multilevel"/>
    <w:tmpl w:val="0512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EF"/>
    <w:rsid w:val="000530C3"/>
    <w:rsid w:val="00066052"/>
    <w:rsid w:val="000D1998"/>
    <w:rsid w:val="000D36A9"/>
    <w:rsid w:val="0011245B"/>
    <w:rsid w:val="00131C9F"/>
    <w:rsid w:val="001515D6"/>
    <w:rsid w:val="001C5EBE"/>
    <w:rsid w:val="001D6A4D"/>
    <w:rsid w:val="001E46DE"/>
    <w:rsid w:val="00237C62"/>
    <w:rsid w:val="00246B67"/>
    <w:rsid w:val="002661AD"/>
    <w:rsid w:val="002E11B8"/>
    <w:rsid w:val="003F2930"/>
    <w:rsid w:val="00407934"/>
    <w:rsid w:val="004828B7"/>
    <w:rsid w:val="004C49E4"/>
    <w:rsid w:val="004E221E"/>
    <w:rsid w:val="005555B9"/>
    <w:rsid w:val="005D49AA"/>
    <w:rsid w:val="006151C1"/>
    <w:rsid w:val="006549AB"/>
    <w:rsid w:val="007229AD"/>
    <w:rsid w:val="00723316"/>
    <w:rsid w:val="00796A72"/>
    <w:rsid w:val="007B066A"/>
    <w:rsid w:val="007E6F25"/>
    <w:rsid w:val="008056CE"/>
    <w:rsid w:val="0086319C"/>
    <w:rsid w:val="00867F1E"/>
    <w:rsid w:val="008F42D3"/>
    <w:rsid w:val="00951122"/>
    <w:rsid w:val="00964175"/>
    <w:rsid w:val="009F7CE2"/>
    <w:rsid w:val="00A00BE1"/>
    <w:rsid w:val="00AB1705"/>
    <w:rsid w:val="00AF20CD"/>
    <w:rsid w:val="00B94A6E"/>
    <w:rsid w:val="00BF206D"/>
    <w:rsid w:val="00C14874"/>
    <w:rsid w:val="00C362A5"/>
    <w:rsid w:val="00C9748F"/>
    <w:rsid w:val="00CA292E"/>
    <w:rsid w:val="00CB21C9"/>
    <w:rsid w:val="00D119F0"/>
    <w:rsid w:val="00D41D1D"/>
    <w:rsid w:val="00D76EFF"/>
    <w:rsid w:val="00D905A4"/>
    <w:rsid w:val="00D95673"/>
    <w:rsid w:val="00DB1EA0"/>
    <w:rsid w:val="00DE6E55"/>
    <w:rsid w:val="00E06515"/>
    <w:rsid w:val="00E12723"/>
    <w:rsid w:val="00E30122"/>
    <w:rsid w:val="00E7203A"/>
    <w:rsid w:val="00E75EEA"/>
    <w:rsid w:val="00F47C1C"/>
    <w:rsid w:val="00FA68EF"/>
    <w:rsid w:val="00FB78C6"/>
    <w:rsid w:val="00F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E2B59"/>
  <w15:chartTrackingRefBased/>
  <w15:docId w15:val="{B6E0B804-CD06-40EB-B640-B58586E7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6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246B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8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49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9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9E4"/>
  </w:style>
  <w:style w:type="paragraph" w:styleId="Footer">
    <w:name w:val="footer"/>
    <w:basedOn w:val="Normal"/>
    <w:link w:val="FooterChar"/>
    <w:uiPriority w:val="99"/>
    <w:unhideWhenUsed/>
    <w:rsid w:val="004C49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9E4"/>
  </w:style>
  <w:style w:type="character" w:customStyle="1" w:styleId="Heading2Char">
    <w:name w:val="Heading 2 Char"/>
    <w:basedOn w:val="DefaultParagraphFont"/>
    <w:link w:val="Heading2"/>
    <w:uiPriority w:val="9"/>
    <w:rsid w:val="00246B67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6B67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4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46B67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6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6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6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38974-2CFF-F747-836B-6AC2AEA8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513</Words>
  <Characters>2925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Tapani</dc:creator>
  <cp:keywords/>
  <dc:description/>
  <cp:lastModifiedBy>Rinta-Kahila Tapani</cp:lastModifiedBy>
  <cp:revision>9</cp:revision>
  <dcterms:created xsi:type="dcterms:W3CDTF">2017-03-23T08:52:00Z</dcterms:created>
  <dcterms:modified xsi:type="dcterms:W3CDTF">2017-03-23T10:56:00Z</dcterms:modified>
</cp:coreProperties>
</file>